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56833" w14:textId="02028D3E" w:rsidR="00E3547A" w:rsidRPr="00E3547A" w:rsidRDefault="00E3547A" w:rsidP="00E3547A">
      <w:pPr>
        <w:jc w:val="right"/>
        <w:rPr>
          <w:i/>
          <w:sz w:val="18"/>
          <w:szCs w:val="18"/>
          <w:lang w:val="en-US"/>
        </w:rPr>
      </w:pPr>
      <w:r w:rsidRPr="00E3547A">
        <w:rPr>
          <w:i/>
          <w:sz w:val="18"/>
          <w:szCs w:val="18"/>
          <w:lang w:val="en-US"/>
        </w:rPr>
        <w:t xml:space="preserve">Translated from Romanian language to English language </w:t>
      </w:r>
    </w:p>
    <w:p w14:paraId="37F9E4FA" w14:textId="54613C23" w:rsidR="00E3547A" w:rsidRPr="00E3547A" w:rsidRDefault="00E3547A" w:rsidP="00E3547A">
      <w:pPr>
        <w:jc w:val="right"/>
        <w:rPr>
          <w:sz w:val="18"/>
          <w:szCs w:val="18"/>
          <w:lang w:val="ro-RO"/>
        </w:rPr>
      </w:pPr>
      <w:r w:rsidRPr="00E3547A">
        <w:rPr>
          <w:sz w:val="18"/>
          <w:szCs w:val="18"/>
          <w:lang w:val="en-US"/>
        </w:rPr>
        <w:t>A.O. LEGAL BUSINESS MONITOR</w:t>
      </w:r>
      <w:r w:rsidRPr="00E3547A">
        <w:rPr>
          <w:sz w:val="18"/>
          <w:szCs w:val="18"/>
          <w:lang w:val="en-US"/>
        </w:rPr>
        <w:br/>
        <w:t>non-commercial organization</w:t>
      </w:r>
      <w:r w:rsidRPr="00E3547A">
        <w:rPr>
          <w:sz w:val="18"/>
          <w:szCs w:val="18"/>
          <w:lang w:val="en-US"/>
        </w:rPr>
        <w:br/>
        <w:t xml:space="preserve">Tax code 1022620002351, Legal address MD-2060, </w:t>
      </w:r>
      <w:proofErr w:type="spellStart"/>
      <w:r w:rsidRPr="00E3547A">
        <w:rPr>
          <w:sz w:val="18"/>
          <w:szCs w:val="18"/>
          <w:lang w:val="en-US"/>
        </w:rPr>
        <w:t>mun</w:t>
      </w:r>
      <w:proofErr w:type="spellEnd"/>
      <w:r w:rsidRPr="00E3547A">
        <w:rPr>
          <w:sz w:val="18"/>
          <w:szCs w:val="18"/>
          <w:lang w:val="en-US"/>
        </w:rPr>
        <w:t xml:space="preserve">. </w:t>
      </w:r>
      <w:proofErr w:type="spellStart"/>
      <w:r w:rsidRPr="00E3547A">
        <w:rPr>
          <w:sz w:val="18"/>
          <w:szCs w:val="18"/>
          <w:lang w:val="en-US"/>
        </w:rPr>
        <w:t>Chișinău</w:t>
      </w:r>
      <w:proofErr w:type="spellEnd"/>
      <w:r w:rsidRPr="00E3547A">
        <w:rPr>
          <w:sz w:val="18"/>
          <w:szCs w:val="18"/>
          <w:lang w:val="en-US"/>
        </w:rPr>
        <w:t xml:space="preserve">, str. </w:t>
      </w:r>
      <w:proofErr w:type="spellStart"/>
      <w:proofErr w:type="gramStart"/>
      <w:r w:rsidRPr="00E3547A">
        <w:rPr>
          <w:sz w:val="18"/>
          <w:szCs w:val="18"/>
          <w:lang w:val="en-US"/>
        </w:rPr>
        <w:t>C.Brăncuși</w:t>
      </w:r>
      <w:proofErr w:type="spellEnd"/>
      <w:proofErr w:type="gramEnd"/>
      <w:r w:rsidRPr="00E3547A">
        <w:rPr>
          <w:sz w:val="18"/>
          <w:szCs w:val="18"/>
          <w:lang w:val="en-US"/>
        </w:rPr>
        <w:t xml:space="preserve"> 110, of.18</w:t>
      </w:r>
      <w:r w:rsidRPr="00E3547A">
        <w:rPr>
          <w:sz w:val="18"/>
          <w:szCs w:val="18"/>
          <w:lang w:val="en-US"/>
        </w:rPr>
        <w:br/>
        <w:t>e-mail: office@legal-monitor.md, www.legal-monitor.md, p. num. +(373) 69 069 529</w:t>
      </w:r>
    </w:p>
    <w:p w14:paraId="08D20FD5" w14:textId="77777777" w:rsidR="00E3547A" w:rsidRDefault="00E3547A" w:rsidP="00F71D64">
      <w:pPr>
        <w:jc w:val="both"/>
        <w:rPr>
          <w:b/>
          <w:lang w:val="en-US"/>
        </w:rPr>
      </w:pPr>
    </w:p>
    <w:p w14:paraId="2B7E6367" w14:textId="4D162078" w:rsidR="00C6724E" w:rsidRPr="00A80753" w:rsidRDefault="0045217A" w:rsidP="00F71D64">
      <w:pPr>
        <w:jc w:val="both"/>
        <w:rPr>
          <w:rFonts w:ascii="Arial" w:hAnsi="Arial" w:cs="Arial"/>
          <w:b/>
          <w:bCs/>
          <w:sz w:val="24"/>
          <w:szCs w:val="24"/>
          <w:lang w:val="en-US"/>
        </w:rPr>
      </w:pPr>
      <w:r w:rsidRPr="00A80753">
        <w:rPr>
          <w:rFonts w:ascii="Arial" w:hAnsi="Arial" w:cs="Arial"/>
          <w:b/>
          <w:noProof/>
          <w:sz w:val="24"/>
          <w:szCs w:val="24"/>
          <w:lang w:eastAsia="ru-RU"/>
        </w:rPr>
        <w:drawing>
          <wp:anchor distT="0" distB="0" distL="114300" distR="114300" simplePos="0" relativeHeight="251658240" behindDoc="0" locked="0" layoutInCell="1" allowOverlap="1" wp14:anchorId="3C6902CF" wp14:editId="469AE215">
            <wp:simplePos x="0" y="0"/>
            <wp:positionH relativeFrom="page">
              <wp:align>left</wp:align>
            </wp:positionH>
            <wp:positionV relativeFrom="page">
              <wp:align>top</wp:align>
            </wp:positionV>
            <wp:extent cx="7577437" cy="20193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585831" cy="2021537"/>
                    </a:xfrm>
                    <a:prstGeom prst="rect">
                      <a:avLst/>
                    </a:prstGeom>
                  </pic:spPr>
                </pic:pic>
              </a:graphicData>
            </a:graphic>
            <wp14:sizeRelH relativeFrom="margin">
              <wp14:pctWidth>0</wp14:pctWidth>
            </wp14:sizeRelH>
            <wp14:sizeRelV relativeFrom="margin">
              <wp14:pctHeight>0</wp14:pctHeight>
            </wp14:sizeRelV>
          </wp:anchor>
        </w:drawing>
      </w:r>
      <w:r w:rsidR="00A80753" w:rsidRPr="00A80753">
        <w:rPr>
          <w:b/>
          <w:lang w:val="en-US"/>
        </w:rPr>
        <w:t xml:space="preserve"> </w:t>
      </w:r>
      <w:r w:rsidR="00A80753" w:rsidRPr="00A80753">
        <w:rPr>
          <w:rFonts w:ascii="Arial" w:hAnsi="Arial" w:cs="Arial"/>
          <w:b/>
          <w:noProof/>
          <w:sz w:val="24"/>
          <w:szCs w:val="24"/>
          <w:lang w:val="en-US" w:eastAsia="ru-RU"/>
        </w:rPr>
        <w:t>Gambling black market in Moldova exceeded 500 million lei in 2020</w:t>
      </w:r>
    </w:p>
    <w:p w14:paraId="74CEABF6" w14:textId="77777777" w:rsidR="00C6724E" w:rsidRDefault="00C6724E" w:rsidP="00F71D64">
      <w:pPr>
        <w:jc w:val="both"/>
        <w:rPr>
          <w:rFonts w:ascii="Arial" w:hAnsi="Arial" w:cs="Arial"/>
          <w:sz w:val="24"/>
          <w:szCs w:val="24"/>
          <w:lang w:val="ro-RO"/>
        </w:rPr>
      </w:pPr>
    </w:p>
    <w:p w14:paraId="36389962" w14:textId="5C4AC45A" w:rsidR="00B50477" w:rsidRPr="0045217A" w:rsidRDefault="00A80753" w:rsidP="00F71D64">
      <w:pPr>
        <w:jc w:val="both"/>
        <w:rPr>
          <w:rFonts w:ascii="Arial" w:hAnsi="Arial" w:cs="Arial"/>
          <w:b/>
          <w:bCs/>
          <w:i/>
          <w:iCs/>
          <w:sz w:val="24"/>
          <w:szCs w:val="24"/>
          <w:lang w:val="ro-RO"/>
        </w:rPr>
      </w:pPr>
      <w:r w:rsidRPr="00A80753">
        <w:rPr>
          <w:rFonts w:ascii="Arial" w:hAnsi="Arial" w:cs="Arial"/>
          <w:b/>
          <w:bCs/>
          <w:i/>
          <w:iCs/>
          <w:sz w:val="24"/>
          <w:szCs w:val="24"/>
          <w:lang w:val="ro-RO"/>
        </w:rPr>
        <w:t xml:space="preserve">The black market of gambling in the Republic Of Moldova, dominated by operators from offshore jurisdictions, has grown steadily in recent years and reached its highest share in 2020, when it </w:t>
      </w:r>
      <w:r w:rsidRPr="00A80753">
        <w:rPr>
          <w:rFonts w:ascii="Arial" w:hAnsi="Arial" w:cs="Arial"/>
          <w:b/>
          <w:bCs/>
          <w:i/>
          <w:iCs/>
          <w:sz w:val="24"/>
          <w:szCs w:val="24"/>
          <w:u w:val="single"/>
          <w:lang w:val="ro-RO"/>
        </w:rPr>
        <w:t>exceeded 500 million lei</w:t>
      </w:r>
      <w:r w:rsidR="00F71D64" w:rsidRPr="0045217A">
        <w:rPr>
          <w:rFonts w:ascii="Arial" w:hAnsi="Arial" w:cs="Arial"/>
          <w:b/>
          <w:bCs/>
          <w:i/>
          <w:iCs/>
          <w:sz w:val="24"/>
          <w:szCs w:val="24"/>
          <w:lang w:val="ro-RO"/>
        </w:rPr>
        <w:t>.</w:t>
      </w:r>
      <w:r w:rsidR="006D0964" w:rsidRPr="0045217A">
        <w:rPr>
          <w:rFonts w:ascii="Arial" w:hAnsi="Arial" w:cs="Arial"/>
          <w:b/>
          <w:bCs/>
          <w:i/>
          <w:iCs/>
          <w:sz w:val="24"/>
          <w:szCs w:val="24"/>
          <w:lang w:val="ro-RO"/>
        </w:rPr>
        <w:t xml:space="preserve"> </w:t>
      </w:r>
    </w:p>
    <w:p w14:paraId="6FBA4B53" w14:textId="25ED068D" w:rsidR="00894444" w:rsidRPr="005C44FE" w:rsidRDefault="00A80753" w:rsidP="00F71D64">
      <w:pPr>
        <w:jc w:val="both"/>
        <w:rPr>
          <w:rFonts w:ascii="Arial" w:hAnsi="Arial" w:cs="Arial"/>
          <w:sz w:val="24"/>
          <w:szCs w:val="24"/>
          <w:lang w:val="ro-RO"/>
        </w:rPr>
      </w:pPr>
      <w:r w:rsidRPr="00A80753">
        <w:rPr>
          <w:rFonts w:ascii="Arial" w:hAnsi="Arial" w:cs="Arial"/>
          <w:sz w:val="24"/>
          <w:szCs w:val="24"/>
          <w:lang w:val="ro-RO"/>
        </w:rPr>
        <w:t xml:space="preserve">This is money transferred by players from our country </w:t>
      </w:r>
      <w:r w:rsidRPr="00A80753">
        <w:rPr>
          <w:rFonts w:ascii="Arial" w:hAnsi="Arial" w:cs="Arial"/>
          <w:sz w:val="24"/>
          <w:szCs w:val="24"/>
          <w:u w:val="single"/>
          <w:lang w:val="ro-RO"/>
        </w:rPr>
        <w:t>through payment services (online)</w:t>
      </w:r>
      <w:r w:rsidRPr="00A80753">
        <w:rPr>
          <w:rFonts w:ascii="Arial" w:hAnsi="Arial" w:cs="Arial"/>
          <w:sz w:val="24"/>
          <w:szCs w:val="24"/>
          <w:lang w:val="ro-RO"/>
        </w:rPr>
        <w:t xml:space="preserve"> to gambling sites abroad, which do not have an activity authorization in the Republic of Moldova. In this calculation, </w:t>
      </w:r>
      <w:r w:rsidRPr="00A80753">
        <w:rPr>
          <w:rFonts w:ascii="Arial" w:hAnsi="Arial" w:cs="Arial"/>
          <w:sz w:val="24"/>
          <w:szCs w:val="24"/>
          <w:u w:val="single"/>
          <w:lang w:val="ro-RO"/>
        </w:rPr>
        <w:t>transfers through bank cards were not taken</w:t>
      </w:r>
      <w:r w:rsidRPr="00A80753">
        <w:rPr>
          <w:rFonts w:ascii="Arial" w:hAnsi="Arial" w:cs="Arial"/>
          <w:sz w:val="24"/>
          <w:szCs w:val="24"/>
          <w:lang w:val="ro-RO"/>
        </w:rPr>
        <w:t>, which means that the final amount may be even higher</w:t>
      </w:r>
      <w:r w:rsidR="00840E53">
        <w:rPr>
          <w:rFonts w:ascii="Arial" w:hAnsi="Arial" w:cs="Arial"/>
          <w:sz w:val="24"/>
          <w:szCs w:val="24"/>
          <w:lang w:val="ro-RO"/>
        </w:rPr>
        <w:t xml:space="preserve">. </w:t>
      </w:r>
    </w:p>
    <w:p w14:paraId="257A6BA9" w14:textId="7CE607B9" w:rsidR="0045217A" w:rsidRDefault="00A80753" w:rsidP="0045217A">
      <w:pPr>
        <w:jc w:val="both"/>
        <w:rPr>
          <w:rFonts w:ascii="Arial" w:hAnsi="Arial" w:cs="Arial"/>
          <w:sz w:val="24"/>
          <w:szCs w:val="24"/>
          <w:lang w:val="ro-RO"/>
        </w:rPr>
      </w:pPr>
      <w:r w:rsidRPr="00A80753">
        <w:rPr>
          <w:rFonts w:ascii="Arial" w:hAnsi="Arial" w:cs="Arial"/>
          <w:sz w:val="24"/>
          <w:szCs w:val="24"/>
          <w:lang w:val="ro-RO"/>
        </w:rPr>
        <w:t xml:space="preserve">This results from the analysis made by the non-governmental organization Legal Business Monitor based on data presented by the National Bank of Moldova (NBM) and the authorized gambling operator of the Republic of Moldova, NGM Company, the private partner of the National Lottery of Moldova (NLM) in the field of lotteries and sports betting. NGM Company began receiving payments for </w:t>
      </w:r>
      <w:proofErr w:type="spellStart"/>
      <w:r w:rsidRPr="00A80753">
        <w:rPr>
          <w:rFonts w:ascii="Arial" w:hAnsi="Arial" w:cs="Arial"/>
          <w:sz w:val="24"/>
          <w:szCs w:val="24"/>
          <w:lang w:val="ro-RO"/>
        </w:rPr>
        <w:t>gambling</w:t>
      </w:r>
      <w:proofErr w:type="spellEnd"/>
      <w:r w:rsidRPr="00A80753">
        <w:rPr>
          <w:rFonts w:ascii="Arial" w:hAnsi="Arial" w:cs="Arial"/>
          <w:sz w:val="24"/>
          <w:szCs w:val="24"/>
          <w:lang w:val="ro-RO"/>
        </w:rPr>
        <w:t xml:space="preserve"> site</w:t>
      </w:r>
      <w:r w:rsidR="00AB5B80">
        <w:rPr>
          <w:rFonts w:ascii="Arial" w:hAnsi="Arial" w:cs="Arial"/>
          <w:sz w:val="24"/>
          <w:szCs w:val="24"/>
          <w:lang w:val="ro-RO"/>
        </w:rPr>
        <w:t xml:space="preserve"> </w:t>
      </w:r>
      <w:hyperlink r:id="rId5" w:history="1">
        <w:r w:rsidR="00AB5B80" w:rsidRPr="00C84774">
          <w:rPr>
            <w:rStyle w:val="a4"/>
            <w:rFonts w:ascii="Arial" w:hAnsi="Arial" w:cs="Arial"/>
            <w:sz w:val="24"/>
            <w:szCs w:val="24"/>
            <w:lang w:val="ro-RO"/>
          </w:rPr>
          <w:t>www.7777.md</w:t>
        </w:r>
      </w:hyperlink>
      <w:r w:rsidR="00AB5B80">
        <w:rPr>
          <w:rFonts w:ascii="Arial" w:hAnsi="Arial" w:cs="Arial"/>
          <w:sz w:val="24"/>
          <w:szCs w:val="24"/>
          <w:lang w:val="ro-RO"/>
        </w:rPr>
        <w:t xml:space="preserve">, </w:t>
      </w:r>
      <w:proofErr w:type="spellStart"/>
      <w:r w:rsidRPr="00A80753">
        <w:rPr>
          <w:rFonts w:ascii="Arial" w:hAnsi="Arial" w:cs="Arial"/>
          <w:sz w:val="24"/>
          <w:szCs w:val="24"/>
          <w:lang w:val="ro-RO"/>
        </w:rPr>
        <w:t>authorized</w:t>
      </w:r>
      <w:proofErr w:type="spellEnd"/>
      <w:r w:rsidRPr="00A80753">
        <w:rPr>
          <w:rFonts w:ascii="Arial" w:hAnsi="Arial" w:cs="Arial"/>
          <w:sz w:val="24"/>
          <w:szCs w:val="24"/>
          <w:lang w:val="ro-RO"/>
        </w:rPr>
        <w:t xml:space="preserve"> </w:t>
      </w:r>
      <w:proofErr w:type="spellStart"/>
      <w:r w:rsidRPr="00A80753">
        <w:rPr>
          <w:rFonts w:ascii="Arial" w:hAnsi="Arial" w:cs="Arial"/>
          <w:sz w:val="24"/>
          <w:szCs w:val="24"/>
          <w:lang w:val="ro-RO"/>
        </w:rPr>
        <w:t>by</w:t>
      </w:r>
      <w:proofErr w:type="spellEnd"/>
      <w:r w:rsidRPr="00A80753">
        <w:rPr>
          <w:rFonts w:ascii="Arial" w:hAnsi="Arial" w:cs="Arial"/>
          <w:sz w:val="24"/>
          <w:szCs w:val="24"/>
          <w:lang w:val="ro-RO"/>
        </w:rPr>
        <w:t xml:space="preserve"> NLM, from 2019</w:t>
      </w:r>
      <w:r w:rsidR="00AB5B80">
        <w:rPr>
          <w:rFonts w:ascii="Arial" w:hAnsi="Arial" w:cs="Arial"/>
          <w:sz w:val="24"/>
          <w:szCs w:val="24"/>
          <w:lang w:val="ro-RO"/>
        </w:rPr>
        <w:t xml:space="preserve">. </w:t>
      </w:r>
      <w:r w:rsidRPr="00A80753">
        <w:rPr>
          <w:rFonts w:ascii="Arial" w:hAnsi="Arial" w:cs="Arial"/>
          <w:sz w:val="24"/>
          <w:szCs w:val="24"/>
          <w:u w:val="single"/>
          <w:lang w:val="ro-RO"/>
        </w:rPr>
        <w:t>The share of payments for legal Games was insignificant, compared to the total volume, in 2019-2020</w:t>
      </w:r>
      <w:r w:rsidR="0045217A" w:rsidRPr="0045217A">
        <w:rPr>
          <w:rFonts w:ascii="Arial" w:hAnsi="Arial" w:cs="Arial"/>
          <w:sz w:val="24"/>
          <w:szCs w:val="24"/>
          <w:u w:val="single"/>
          <w:lang w:val="ro-RO"/>
        </w:rPr>
        <w:t>.</w:t>
      </w:r>
      <w:r w:rsidR="0045217A">
        <w:rPr>
          <w:rFonts w:ascii="Arial" w:hAnsi="Arial" w:cs="Arial"/>
          <w:sz w:val="24"/>
          <w:szCs w:val="24"/>
          <w:lang w:val="ro-RO"/>
        </w:rPr>
        <w:t xml:space="preserve">  </w:t>
      </w:r>
    </w:p>
    <w:p w14:paraId="7B1F2A3A" w14:textId="4731B212" w:rsidR="00771DF9" w:rsidRPr="00530236" w:rsidRDefault="00A80753" w:rsidP="00771DF9">
      <w:pPr>
        <w:jc w:val="both"/>
        <w:rPr>
          <w:rFonts w:ascii="Arial" w:hAnsi="Arial" w:cs="Arial"/>
          <w:b/>
          <w:bCs/>
          <w:sz w:val="24"/>
          <w:szCs w:val="24"/>
          <w:lang w:val="ro-RO"/>
        </w:rPr>
      </w:pPr>
      <w:r w:rsidRPr="00A80753">
        <w:rPr>
          <w:rFonts w:ascii="Arial" w:hAnsi="Arial" w:cs="Arial"/>
          <w:b/>
          <w:bCs/>
          <w:sz w:val="24"/>
          <w:szCs w:val="24"/>
          <w:lang w:val="ro-RO"/>
        </w:rPr>
        <w:t>Table</w:t>
      </w:r>
      <w:r w:rsidR="00771DF9" w:rsidRPr="00530236">
        <w:rPr>
          <w:rFonts w:ascii="Arial" w:hAnsi="Arial" w:cs="Arial"/>
          <w:b/>
          <w:bCs/>
          <w:sz w:val="24"/>
          <w:szCs w:val="24"/>
          <w:lang w:val="ro-RO"/>
        </w:rPr>
        <w:t xml:space="preserve"> 1</w:t>
      </w:r>
    </w:p>
    <w:p w14:paraId="6C06F25D" w14:textId="77777777" w:rsidR="00A80753" w:rsidRPr="00A80753" w:rsidRDefault="00A80753" w:rsidP="00A80753">
      <w:pPr>
        <w:spacing w:after="0" w:line="240" w:lineRule="auto"/>
        <w:jc w:val="center"/>
        <w:rPr>
          <w:rFonts w:ascii="Arial" w:hAnsi="Arial" w:cs="Arial"/>
          <w:b/>
          <w:bCs/>
          <w:lang w:val="ro-RO"/>
        </w:rPr>
      </w:pPr>
      <w:r w:rsidRPr="00A80753">
        <w:rPr>
          <w:rFonts w:ascii="Arial" w:hAnsi="Arial" w:cs="Arial"/>
          <w:b/>
          <w:bCs/>
          <w:lang w:val="ro-RO"/>
        </w:rPr>
        <w:t xml:space="preserve">Number and amount of payments received by </w:t>
      </w:r>
      <w:r w:rsidRPr="00A80753">
        <w:rPr>
          <w:rFonts w:ascii="Arial" w:hAnsi="Arial" w:cs="Arial"/>
          <w:b/>
          <w:bCs/>
          <w:u w:val="single"/>
          <w:lang w:val="ro-RO"/>
        </w:rPr>
        <w:t>payment service users</w:t>
      </w:r>
    </w:p>
    <w:p w14:paraId="2D795906" w14:textId="618CD7E3" w:rsidR="00771DF9" w:rsidRPr="00A83144" w:rsidRDefault="00A80753" w:rsidP="00A80753">
      <w:pPr>
        <w:spacing w:after="0" w:line="240" w:lineRule="auto"/>
        <w:jc w:val="center"/>
        <w:rPr>
          <w:rFonts w:ascii="Arial" w:hAnsi="Arial" w:cs="Arial"/>
          <w:b/>
          <w:bCs/>
          <w:lang w:val="ro-RO"/>
        </w:rPr>
      </w:pPr>
      <w:r w:rsidRPr="00A80753">
        <w:rPr>
          <w:rFonts w:ascii="Arial" w:hAnsi="Arial" w:cs="Arial"/>
          <w:b/>
          <w:bCs/>
          <w:lang w:val="ro-RO"/>
        </w:rPr>
        <w:t>for the category ”games and entertainment</w:t>
      </w:r>
      <w:r w:rsidR="00771DF9" w:rsidRPr="00A83144">
        <w:rPr>
          <w:rFonts w:ascii="Arial" w:hAnsi="Arial" w:cs="Arial"/>
          <w:b/>
          <w:bCs/>
          <w:lang w:val="ro-RO"/>
        </w:rPr>
        <w:t>”</w:t>
      </w:r>
      <w:r w:rsidR="00771DF9">
        <w:rPr>
          <w:rFonts w:ascii="Arial" w:hAnsi="Arial" w:cs="Arial"/>
          <w:b/>
          <w:bCs/>
          <w:lang w:val="ro-RO"/>
        </w:rPr>
        <w:t xml:space="preserve"> </w:t>
      </w:r>
    </w:p>
    <w:tbl>
      <w:tblPr>
        <w:tblStyle w:val="a3"/>
        <w:tblW w:w="0" w:type="auto"/>
        <w:tblLook w:val="04A0" w:firstRow="1" w:lastRow="0" w:firstColumn="1" w:lastColumn="0" w:noHBand="0" w:noVBand="1"/>
      </w:tblPr>
      <w:tblGrid>
        <w:gridCol w:w="2263"/>
        <w:gridCol w:w="3828"/>
        <w:gridCol w:w="3254"/>
      </w:tblGrid>
      <w:tr w:rsidR="00771DF9" w:rsidRPr="00A80753" w14:paraId="4197E2E7" w14:textId="77777777" w:rsidTr="00D067B2">
        <w:tc>
          <w:tcPr>
            <w:tcW w:w="2263" w:type="dxa"/>
          </w:tcPr>
          <w:p w14:paraId="23590330" w14:textId="61AFC9E7" w:rsidR="00771DF9" w:rsidRPr="005C44FE" w:rsidRDefault="00A80753" w:rsidP="00D067B2">
            <w:pPr>
              <w:jc w:val="center"/>
              <w:rPr>
                <w:rFonts w:ascii="Arial" w:hAnsi="Arial" w:cs="Arial"/>
                <w:b/>
                <w:bCs/>
                <w:sz w:val="24"/>
                <w:szCs w:val="24"/>
                <w:lang w:val="ro-RO"/>
              </w:rPr>
            </w:pPr>
            <w:r>
              <w:rPr>
                <w:rFonts w:ascii="Arial" w:hAnsi="Arial" w:cs="Arial"/>
                <w:b/>
                <w:bCs/>
                <w:sz w:val="24"/>
                <w:szCs w:val="24"/>
                <w:lang w:val="ro-RO"/>
              </w:rPr>
              <w:t>Year</w:t>
            </w:r>
          </w:p>
        </w:tc>
        <w:tc>
          <w:tcPr>
            <w:tcW w:w="3828" w:type="dxa"/>
          </w:tcPr>
          <w:p w14:paraId="28DC1145" w14:textId="47232AD5" w:rsidR="00771DF9" w:rsidRPr="005C44FE" w:rsidRDefault="00A80753" w:rsidP="00D067B2">
            <w:pPr>
              <w:jc w:val="center"/>
              <w:rPr>
                <w:rFonts w:ascii="Arial" w:hAnsi="Arial" w:cs="Arial"/>
                <w:sz w:val="24"/>
                <w:szCs w:val="24"/>
                <w:lang w:val="ro-RO"/>
              </w:rPr>
            </w:pPr>
            <w:r>
              <w:rPr>
                <w:rFonts w:ascii="Arial" w:hAnsi="Arial" w:cs="Arial"/>
                <w:b/>
                <w:bCs/>
                <w:sz w:val="24"/>
                <w:szCs w:val="24"/>
                <w:lang w:val="ro-RO"/>
              </w:rPr>
              <w:t>Number</w:t>
            </w:r>
          </w:p>
          <w:p w14:paraId="1D8F4CD3" w14:textId="1D65A13D"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w:t>
            </w:r>
            <w:r w:rsidR="00A80753" w:rsidRPr="00A80753">
              <w:rPr>
                <w:rFonts w:ascii="Arial" w:hAnsi="Arial" w:cs="Arial"/>
                <w:sz w:val="24"/>
                <w:szCs w:val="24"/>
                <w:lang w:val="ro-RO"/>
              </w:rPr>
              <w:t>million operations</w:t>
            </w:r>
            <w:r w:rsidRPr="005C44FE">
              <w:rPr>
                <w:rFonts w:ascii="Arial" w:hAnsi="Arial" w:cs="Arial"/>
                <w:sz w:val="24"/>
                <w:szCs w:val="24"/>
                <w:lang w:val="ro-RO"/>
              </w:rPr>
              <w:t>)</w:t>
            </w:r>
          </w:p>
        </w:tc>
        <w:tc>
          <w:tcPr>
            <w:tcW w:w="3254" w:type="dxa"/>
          </w:tcPr>
          <w:p w14:paraId="451B40F5" w14:textId="346BD11E" w:rsidR="00771DF9" w:rsidRPr="005C44FE" w:rsidRDefault="00A80753" w:rsidP="00D067B2">
            <w:pPr>
              <w:jc w:val="center"/>
              <w:rPr>
                <w:rFonts w:ascii="Arial" w:hAnsi="Arial" w:cs="Arial"/>
                <w:sz w:val="24"/>
                <w:szCs w:val="24"/>
                <w:lang w:val="ro-RO"/>
              </w:rPr>
            </w:pPr>
            <w:r w:rsidRPr="00A80753">
              <w:rPr>
                <w:rFonts w:ascii="Arial" w:hAnsi="Arial" w:cs="Arial"/>
                <w:b/>
                <w:bCs/>
                <w:sz w:val="24"/>
                <w:szCs w:val="24"/>
                <w:lang w:val="ro-RO"/>
              </w:rPr>
              <w:t xml:space="preserve">Value </w:t>
            </w:r>
            <w:r>
              <w:rPr>
                <w:rFonts w:ascii="Arial" w:hAnsi="Arial" w:cs="Arial"/>
                <w:b/>
                <w:bCs/>
                <w:sz w:val="24"/>
                <w:szCs w:val="24"/>
                <w:lang w:val="ro-RO"/>
              </w:rPr>
              <w:br/>
            </w:r>
            <w:r>
              <w:rPr>
                <w:rFonts w:ascii="Arial" w:hAnsi="Arial" w:cs="Arial"/>
                <w:sz w:val="24"/>
                <w:szCs w:val="24"/>
                <w:lang w:val="ro-RO"/>
              </w:rPr>
              <w:t>(million</w:t>
            </w:r>
            <w:r w:rsidR="00771DF9" w:rsidRPr="005C44FE">
              <w:rPr>
                <w:rFonts w:ascii="Arial" w:hAnsi="Arial" w:cs="Arial"/>
                <w:sz w:val="24"/>
                <w:szCs w:val="24"/>
                <w:lang w:val="ro-RO"/>
              </w:rPr>
              <w:t xml:space="preserve"> lei)</w:t>
            </w:r>
          </w:p>
        </w:tc>
      </w:tr>
      <w:tr w:rsidR="00771DF9" w:rsidRPr="00A80753" w14:paraId="46BD36B6" w14:textId="77777777" w:rsidTr="00D067B2">
        <w:tc>
          <w:tcPr>
            <w:tcW w:w="2263" w:type="dxa"/>
          </w:tcPr>
          <w:p w14:paraId="7AE880F8"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2018</w:t>
            </w:r>
          </w:p>
        </w:tc>
        <w:tc>
          <w:tcPr>
            <w:tcW w:w="3828" w:type="dxa"/>
          </w:tcPr>
          <w:p w14:paraId="44A8AE1E"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1,23</w:t>
            </w:r>
          </w:p>
        </w:tc>
        <w:tc>
          <w:tcPr>
            <w:tcW w:w="3254" w:type="dxa"/>
          </w:tcPr>
          <w:p w14:paraId="162C90D7"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280,64</w:t>
            </w:r>
          </w:p>
        </w:tc>
      </w:tr>
      <w:tr w:rsidR="00771DF9" w:rsidRPr="00A80753" w14:paraId="0A143770" w14:textId="77777777" w:rsidTr="00D067B2">
        <w:tc>
          <w:tcPr>
            <w:tcW w:w="2263" w:type="dxa"/>
          </w:tcPr>
          <w:p w14:paraId="63E8BD34"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2019</w:t>
            </w:r>
          </w:p>
        </w:tc>
        <w:tc>
          <w:tcPr>
            <w:tcW w:w="3828" w:type="dxa"/>
          </w:tcPr>
          <w:p w14:paraId="72AF72F7"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1,8</w:t>
            </w:r>
          </w:p>
        </w:tc>
        <w:tc>
          <w:tcPr>
            <w:tcW w:w="3254" w:type="dxa"/>
          </w:tcPr>
          <w:p w14:paraId="4FDA7054"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386,97</w:t>
            </w:r>
          </w:p>
        </w:tc>
      </w:tr>
      <w:tr w:rsidR="00771DF9" w:rsidRPr="00A80753" w14:paraId="2E2A73A5" w14:textId="77777777" w:rsidTr="00D067B2">
        <w:tc>
          <w:tcPr>
            <w:tcW w:w="2263" w:type="dxa"/>
          </w:tcPr>
          <w:p w14:paraId="449F6CE6"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2020</w:t>
            </w:r>
          </w:p>
        </w:tc>
        <w:tc>
          <w:tcPr>
            <w:tcW w:w="3828" w:type="dxa"/>
          </w:tcPr>
          <w:p w14:paraId="332189A6"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2,32</w:t>
            </w:r>
          </w:p>
        </w:tc>
        <w:tc>
          <w:tcPr>
            <w:tcW w:w="3254" w:type="dxa"/>
          </w:tcPr>
          <w:p w14:paraId="28AA73D5"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520,47</w:t>
            </w:r>
          </w:p>
        </w:tc>
      </w:tr>
      <w:tr w:rsidR="00771DF9" w:rsidRPr="00A80753" w14:paraId="54675F63" w14:textId="77777777" w:rsidTr="00D067B2">
        <w:tc>
          <w:tcPr>
            <w:tcW w:w="2263" w:type="dxa"/>
          </w:tcPr>
          <w:p w14:paraId="2DA33C70"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2021</w:t>
            </w:r>
          </w:p>
        </w:tc>
        <w:tc>
          <w:tcPr>
            <w:tcW w:w="3828" w:type="dxa"/>
          </w:tcPr>
          <w:p w14:paraId="6A5250B4"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3,15</w:t>
            </w:r>
          </w:p>
        </w:tc>
        <w:tc>
          <w:tcPr>
            <w:tcW w:w="3254" w:type="dxa"/>
          </w:tcPr>
          <w:p w14:paraId="72EEF62F"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691,6</w:t>
            </w:r>
          </w:p>
        </w:tc>
      </w:tr>
    </w:tbl>
    <w:p w14:paraId="1CC32B9D" w14:textId="15BA2606" w:rsidR="00771DF9" w:rsidRPr="002D78CE" w:rsidRDefault="00A80753" w:rsidP="00771DF9">
      <w:pPr>
        <w:jc w:val="both"/>
        <w:rPr>
          <w:rFonts w:ascii="Arial" w:hAnsi="Arial" w:cs="Arial"/>
          <w:i/>
          <w:iCs/>
          <w:sz w:val="20"/>
          <w:szCs w:val="20"/>
          <w:lang w:val="ro-RO"/>
        </w:rPr>
      </w:pPr>
      <w:r>
        <w:rPr>
          <w:rFonts w:ascii="Arial" w:hAnsi="Arial" w:cs="Arial"/>
          <w:i/>
          <w:iCs/>
          <w:sz w:val="20"/>
          <w:szCs w:val="20"/>
          <w:lang w:val="ro-RO"/>
        </w:rPr>
        <w:t>Sourse</w:t>
      </w:r>
      <w:r w:rsidR="00771DF9" w:rsidRPr="002D78CE">
        <w:rPr>
          <w:rFonts w:ascii="Arial" w:hAnsi="Arial" w:cs="Arial"/>
          <w:i/>
          <w:iCs/>
          <w:sz w:val="20"/>
          <w:szCs w:val="20"/>
          <w:lang w:val="ro-RO"/>
        </w:rPr>
        <w:t xml:space="preserve">: </w:t>
      </w:r>
      <w:r>
        <w:rPr>
          <w:rFonts w:ascii="Arial" w:hAnsi="Arial" w:cs="Arial"/>
          <w:i/>
          <w:iCs/>
          <w:sz w:val="20"/>
          <w:szCs w:val="20"/>
          <w:lang w:val="ro-RO"/>
        </w:rPr>
        <w:t>NBM</w:t>
      </w:r>
    </w:p>
    <w:p w14:paraId="1F0E589A" w14:textId="77777777" w:rsidR="00D130DA" w:rsidRDefault="00D130DA" w:rsidP="00771DF9">
      <w:pPr>
        <w:jc w:val="both"/>
        <w:rPr>
          <w:rFonts w:ascii="Arial" w:hAnsi="Arial" w:cs="Arial"/>
          <w:b/>
          <w:bCs/>
          <w:sz w:val="24"/>
          <w:szCs w:val="24"/>
          <w:lang w:val="ro-RO"/>
        </w:rPr>
      </w:pPr>
    </w:p>
    <w:p w14:paraId="6A2340EA" w14:textId="77777777" w:rsidR="00D130DA" w:rsidRDefault="00D130DA" w:rsidP="00771DF9">
      <w:pPr>
        <w:jc w:val="both"/>
        <w:rPr>
          <w:rFonts w:ascii="Arial" w:hAnsi="Arial" w:cs="Arial"/>
          <w:b/>
          <w:bCs/>
          <w:sz w:val="24"/>
          <w:szCs w:val="24"/>
          <w:lang w:val="ro-RO"/>
        </w:rPr>
      </w:pPr>
    </w:p>
    <w:p w14:paraId="352A4DE6" w14:textId="77777777" w:rsidR="00D130DA" w:rsidRDefault="00D130DA" w:rsidP="00771DF9">
      <w:pPr>
        <w:jc w:val="both"/>
        <w:rPr>
          <w:rFonts w:ascii="Arial" w:hAnsi="Arial" w:cs="Arial"/>
          <w:b/>
          <w:bCs/>
          <w:sz w:val="24"/>
          <w:szCs w:val="24"/>
          <w:lang w:val="ro-RO"/>
        </w:rPr>
      </w:pPr>
    </w:p>
    <w:p w14:paraId="6E6A4A76" w14:textId="77777777" w:rsidR="00D130DA" w:rsidRDefault="00D130DA" w:rsidP="00771DF9">
      <w:pPr>
        <w:jc w:val="both"/>
        <w:rPr>
          <w:rFonts w:ascii="Arial" w:hAnsi="Arial" w:cs="Arial"/>
          <w:b/>
          <w:bCs/>
          <w:sz w:val="24"/>
          <w:szCs w:val="24"/>
          <w:lang w:val="ro-RO"/>
        </w:rPr>
      </w:pPr>
    </w:p>
    <w:p w14:paraId="066CE6ED" w14:textId="32FB514A" w:rsidR="00771DF9" w:rsidRPr="00530236" w:rsidRDefault="00A80753" w:rsidP="00771DF9">
      <w:pPr>
        <w:jc w:val="both"/>
        <w:rPr>
          <w:rFonts w:ascii="Arial" w:hAnsi="Arial" w:cs="Arial"/>
          <w:b/>
          <w:bCs/>
          <w:sz w:val="24"/>
          <w:szCs w:val="24"/>
          <w:lang w:val="ro-RO"/>
        </w:rPr>
      </w:pPr>
      <w:r>
        <w:rPr>
          <w:rFonts w:ascii="Arial" w:hAnsi="Arial" w:cs="Arial"/>
          <w:b/>
          <w:bCs/>
          <w:sz w:val="24"/>
          <w:szCs w:val="24"/>
          <w:lang w:val="ro-RO"/>
        </w:rPr>
        <w:lastRenderedPageBreak/>
        <w:t>Table</w:t>
      </w:r>
      <w:r w:rsidR="00771DF9" w:rsidRPr="00530236">
        <w:rPr>
          <w:rFonts w:ascii="Arial" w:hAnsi="Arial" w:cs="Arial"/>
          <w:b/>
          <w:bCs/>
          <w:sz w:val="24"/>
          <w:szCs w:val="24"/>
          <w:lang w:val="ro-RO"/>
        </w:rPr>
        <w:t xml:space="preserve"> </w:t>
      </w:r>
      <w:r w:rsidR="00771DF9">
        <w:rPr>
          <w:rFonts w:ascii="Arial" w:hAnsi="Arial" w:cs="Arial"/>
          <w:b/>
          <w:bCs/>
          <w:sz w:val="24"/>
          <w:szCs w:val="24"/>
          <w:lang w:val="ro-RO"/>
        </w:rPr>
        <w:t>2</w:t>
      </w:r>
    </w:p>
    <w:p w14:paraId="1AE3D11D" w14:textId="7967572B" w:rsidR="00771DF9" w:rsidRPr="0045217A" w:rsidRDefault="00A80753" w:rsidP="00771DF9">
      <w:pPr>
        <w:spacing w:after="0" w:line="240" w:lineRule="auto"/>
        <w:jc w:val="center"/>
        <w:rPr>
          <w:rFonts w:ascii="Arial" w:hAnsi="Arial" w:cs="Arial"/>
          <w:b/>
          <w:bCs/>
          <w:u w:val="single"/>
          <w:lang w:val="ro-RO"/>
        </w:rPr>
      </w:pPr>
      <w:r w:rsidRPr="00A80753">
        <w:rPr>
          <w:rFonts w:ascii="Arial" w:hAnsi="Arial" w:cs="Arial"/>
          <w:b/>
          <w:bCs/>
          <w:lang w:val="ro-RO"/>
        </w:rPr>
        <w:t xml:space="preserve">Number and amount of payments received on 7777.md through </w:t>
      </w:r>
      <w:r w:rsidRPr="00A80753">
        <w:rPr>
          <w:rFonts w:ascii="Arial" w:hAnsi="Arial" w:cs="Arial"/>
          <w:b/>
          <w:bCs/>
          <w:u w:val="single"/>
          <w:lang w:val="ro-RO"/>
        </w:rPr>
        <w:t>payment services</w:t>
      </w:r>
    </w:p>
    <w:p w14:paraId="30DA1629" w14:textId="77777777" w:rsidR="00771DF9" w:rsidRPr="00A83144" w:rsidRDefault="00771DF9" w:rsidP="00771DF9">
      <w:pPr>
        <w:spacing w:after="0" w:line="240" w:lineRule="auto"/>
        <w:jc w:val="center"/>
        <w:rPr>
          <w:rFonts w:ascii="Arial" w:hAnsi="Arial" w:cs="Arial"/>
          <w:b/>
          <w:bCs/>
          <w:lang w:val="ro-RO"/>
        </w:rPr>
      </w:pPr>
    </w:p>
    <w:tbl>
      <w:tblPr>
        <w:tblStyle w:val="a3"/>
        <w:tblW w:w="0" w:type="auto"/>
        <w:tblLook w:val="04A0" w:firstRow="1" w:lastRow="0" w:firstColumn="1" w:lastColumn="0" w:noHBand="0" w:noVBand="1"/>
      </w:tblPr>
      <w:tblGrid>
        <w:gridCol w:w="2263"/>
        <w:gridCol w:w="3828"/>
        <w:gridCol w:w="3254"/>
      </w:tblGrid>
      <w:tr w:rsidR="00771DF9" w14:paraId="30735B64" w14:textId="77777777" w:rsidTr="00D067B2">
        <w:tc>
          <w:tcPr>
            <w:tcW w:w="2263" w:type="dxa"/>
          </w:tcPr>
          <w:p w14:paraId="3990E774" w14:textId="096CD411" w:rsidR="00771DF9" w:rsidRPr="005C44FE" w:rsidRDefault="00A80753" w:rsidP="00D067B2">
            <w:pPr>
              <w:jc w:val="center"/>
              <w:rPr>
                <w:rFonts w:ascii="Arial" w:hAnsi="Arial" w:cs="Arial"/>
                <w:b/>
                <w:bCs/>
                <w:sz w:val="24"/>
                <w:szCs w:val="24"/>
                <w:lang w:val="ro-RO"/>
              </w:rPr>
            </w:pPr>
            <w:r>
              <w:rPr>
                <w:rFonts w:ascii="Arial" w:hAnsi="Arial" w:cs="Arial"/>
                <w:b/>
                <w:bCs/>
                <w:sz w:val="24"/>
                <w:szCs w:val="24"/>
                <w:lang w:val="ro-RO"/>
              </w:rPr>
              <w:t>Year</w:t>
            </w:r>
          </w:p>
        </w:tc>
        <w:tc>
          <w:tcPr>
            <w:tcW w:w="3828" w:type="dxa"/>
          </w:tcPr>
          <w:p w14:paraId="070C2EB3" w14:textId="5D163985" w:rsidR="00771DF9" w:rsidRPr="005C44FE" w:rsidRDefault="00A80753" w:rsidP="00D067B2">
            <w:pPr>
              <w:jc w:val="center"/>
              <w:rPr>
                <w:rFonts w:ascii="Arial" w:hAnsi="Arial" w:cs="Arial"/>
                <w:sz w:val="24"/>
                <w:szCs w:val="24"/>
                <w:lang w:val="ro-RO"/>
              </w:rPr>
            </w:pPr>
            <w:r>
              <w:rPr>
                <w:rFonts w:ascii="Arial" w:hAnsi="Arial" w:cs="Arial"/>
                <w:b/>
                <w:bCs/>
                <w:sz w:val="24"/>
                <w:szCs w:val="24"/>
                <w:lang w:val="ro-RO"/>
              </w:rPr>
              <w:t>Number of operations</w:t>
            </w:r>
          </w:p>
        </w:tc>
        <w:tc>
          <w:tcPr>
            <w:tcW w:w="3254" w:type="dxa"/>
          </w:tcPr>
          <w:p w14:paraId="79684F88" w14:textId="1AE21DE6" w:rsidR="00771DF9" w:rsidRPr="005C44FE" w:rsidRDefault="00A80753" w:rsidP="00D067B2">
            <w:pPr>
              <w:jc w:val="center"/>
              <w:rPr>
                <w:rFonts w:ascii="Arial" w:hAnsi="Arial" w:cs="Arial"/>
                <w:b/>
                <w:bCs/>
                <w:sz w:val="24"/>
                <w:szCs w:val="24"/>
                <w:lang w:val="ro-RO"/>
              </w:rPr>
            </w:pPr>
            <w:r>
              <w:rPr>
                <w:rFonts w:ascii="Arial" w:hAnsi="Arial" w:cs="Arial"/>
                <w:b/>
                <w:bCs/>
                <w:sz w:val="24"/>
                <w:szCs w:val="24"/>
                <w:lang w:val="ro-RO"/>
              </w:rPr>
              <w:t>Value</w:t>
            </w:r>
          </w:p>
          <w:p w14:paraId="31C011B0" w14:textId="012986D0"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w:t>
            </w:r>
            <w:r w:rsidR="00A80753">
              <w:rPr>
                <w:rFonts w:ascii="Arial" w:hAnsi="Arial" w:cs="Arial"/>
                <w:sz w:val="24"/>
                <w:szCs w:val="24"/>
                <w:lang w:val="ro-RO"/>
              </w:rPr>
              <w:t>million</w:t>
            </w:r>
            <w:r>
              <w:rPr>
                <w:rFonts w:ascii="Arial" w:hAnsi="Arial" w:cs="Arial"/>
                <w:sz w:val="24"/>
                <w:szCs w:val="24"/>
                <w:lang w:val="ro-RO"/>
              </w:rPr>
              <w:t xml:space="preserve"> </w:t>
            </w:r>
            <w:r w:rsidRPr="005C44FE">
              <w:rPr>
                <w:rFonts w:ascii="Arial" w:hAnsi="Arial" w:cs="Arial"/>
                <w:sz w:val="24"/>
                <w:szCs w:val="24"/>
                <w:lang w:val="ro-RO"/>
              </w:rPr>
              <w:t>lei)</w:t>
            </w:r>
          </w:p>
        </w:tc>
      </w:tr>
      <w:tr w:rsidR="00771DF9" w14:paraId="11C56814" w14:textId="77777777" w:rsidTr="00D067B2">
        <w:tc>
          <w:tcPr>
            <w:tcW w:w="2263" w:type="dxa"/>
          </w:tcPr>
          <w:p w14:paraId="5485C59F"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2019</w:t>
            </w:r>
          </w:p>
        </w:tc>
        <w:tc>
          <w:tcPr>
            <w:tcW w:w="3828" w:type="dxa"/>
          </w:tcPr>
          <w:p w14:paraId="2AFB4ABE" w14:textId="77777777" w:rsidR="00771DF9" w:rsidRPr="005C44FE" w:rsidRDefault="00771DF9" w:rsidP="00D067B2">
            <w:pPr>
              <w:jc w:val="center"/>
              <w:rPr>
                <w:rFonts w:ascii="Arial" w:hAnsi="Arial" w:cs="Arial"/>
                <w:sz w:val="24"/>
                <w:szCs w:val="24"/>
                <w:lang w:val="ro-RO"/>
              </w:rPr>
            </w:pPr>
            <w:r>
              <w:rPr>
                <w:rFonts w:ascii="Arial" w:hAnsi="Arial" w:cs="Arial"/>
                <w:sz w:val="24"/>
                <w:szCs w:val="24"/>
                <w:lang w:val="ro-RO"/>
              </w:rPr>
              <w:t>29 677</w:t>
            </w:r>
          </w:p>
        </w:tc>
        <w:tc>
          <w:tcPr>
            <w:tcW w:w="3254" w:type="dxa"/>
          </w:tcPr>
          <w:p w14:paraId="056F16AC" w14:textId="77777777" w:rsidR="00771DF9" w:rsidRPr="005C44FE" w:rsidRDefault="00771DF9" w:rsidP="00D067B2">
            <w:pPr>
              <w:jc w:val="center"/>
              <w:rPr>
                <w:rFonts w:ascii="Arial" w:hAnsi="Arial" w:cs="Arial"/>
                <w:sz w:val="24"/>
                <w:szCs w:val="24"/>
                <w:lang w:val="ro-RO"/>
              </w:rPr>
            </w:pPr>
            <w:r>
              <w:rPr>
                <w:rFonts w:ascii="Arial" w:hAnsi="Arial" w:cs="Arial"/>
                <w:sz w:val="24"/>
                <w:szCs w:val="24"/>
                <w:lang w:val="ro-RO"/>
              </w:rPr>
              <w:t>5,43</w:t>
            </w:r>
          </w:p>
        </w:tc>
      </w:tr>
      <w:tr w:rsidR="00771DF9" w14:paraId="225CDE4F" w14:textId="77777777" w:rsidTr="00D067B2">
        <w:tc>
          <w:tcPr>
            <w:tcW w:w="2263" w:type="dxa"/>
          </w:tcPr>
          <w:p w14:paraId="5D368574"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2020</w:t>
            </w:r>
          </w:p>
        </w:tc>
        <w:tc>
          <w:tcPr>
            <w:tcW w:w="3828" w:type="dxa"/>
          </w:tcPr>
          <w:p w14:paraId="0FAAAA34" w14:textId="77777777" w:rsidR="00771DF9" w:rsidRPr="005C44FE" w:rsidRDefault="00771DF9" w:rsidP="00D067B2">
            <w:pPr>
              <w:jc w:val="center"/>
              <w:rPr>
                <w:rFonts w:ascii="Arial" w:hAnsi="Arial" w:cs="Arial"/>
                <w:sz w:val="24"/>
                <w:szCs w:val="24"/>
                <w:lang w:val="ro-RO"/>
              </w:rPr>
            </w:pPr>
            <w:r>
              <w:rPr>
                <w:rFonts w:ascii="Arial" w:hAnsi="Arial" w:cs="Arial"/>
                <w:sz w:val="24"/>
                <w:szCs w:val="24"/>
                <w:lang w:val="ro-RO"/>
              </w:rPr>
              <w:t>52 439</w:t>
            </w:r>
          </w:p>
        </w:tc>
        <w:tc>
          <w:tcPr>
            <w:tcW w:w="3254" w:type="dxa"/>
          </w:tcPr>
          <w:p w14:paraId="2150586C" w14:textId="77777777" w:rsidR="00771DF9" w:rsidRPr="005C44FE" w:rsidRDefault="00771DF9" w:rsidP="00D067B2">
            <w:pPr>
              <w:jc w:val="center"/>
              <w:rPr>
                <w:rFonts w:ascii="Arial" w:hAnsi="Arial" w:cs="Arial"/>
                <w:sz w:val="24"/>
                <w:szCs w:val="24"/>
                <w:lang w:val="ro-RO"/>
              </w:rPr>
            </w:pPr>
            <w:r>
              <w:rPr>
                <w:rFonts w:ascii="Arial" w:hAnsi="Arial" w:cs="Arial"/>
                <w:sz w:val="24"/>
                <w:szCs w:val="24"/>
                <w:lang w:val="ro-RO"/>
              </w:rPr>
              <w:t>8,7</w:t>
            </w:r>
          </w:p>
        </w:tc>
      </w:tr>
      <w:tr w:rsidR="00771DF9" w14:paraId="0A0A7900" w14:textId="77777777" w:rsidTr="00D067B2">
        <w:tc>
          <w:tcPr>
            <w:tcW w:w="2263" w:type="dxa"/>
          </w:tcPr>
          <w:p w14:paraId="5FC94394" w14:textId="77777777" w:rsidR="00771DF9" w:rsidRPr="005C44FE" w:rsidRDefault="00771DF9" w:rsidP="00D067B2">
            <w:pPr>
              <w:jc w:val="center"/>
              <w:rPr>
                <w:rFonts w:ascii="Arial" w:hAnsi="Arial" w:cs="Arial"/>
                <w:sz w:val="24"/>
                <w:szCs w:val="24"/>
                <w:lang w:val="ro-RO"/>
              </w:rPr>
            </w:pPr>
            <w:r w:rsidRPr="005C44FE">
              <w:rPr>
                <w:rFonts w:ascii="Arial" w:hAnsi="Arial" w:cs="Arial"/>
                <w:sz w:val="24"/>
                <w:szCs w:val="24"/>
                <w:lang w:val="ro-RO"/>
              </w:rPr>
              <w:t>2021</w:t>
            </w:r>
          </w:p>
        </w:tc>
        <w:tc>
          <w:tcPr>
            <w:tcW w:w="3828" w:type="dxa"/>
          </w:tcPr>
          <w:p w14:paraId="47327E86" w14:textId="77777777" w:rsidR="00771DF9" w:rsidRPr="005C44FE" w:rsidRDefault="00771DF9" w:rsidP="00D067B2">
            <w:pPr>
              <w:jc w:val="center"/>
              <w:rPr>
                <w:rFonts w:ascii="Arial" w:hAnsi="Arial" w:cs="Arial"/>
                <w:sz w:val="24"/>
                <w:szCs w:val="24"/>
                <w:lang w:val="ro-RO"/>
              </w:rPr>
            </w:pPr>
            <w:r>
              <w:rPr>
                <w:rFonts w:ascii="Arial" w:hAnsi="Arial" w:cs="Arial"/>
                <w:sz w:val="24"/>
                <w:szCs w:val="24"/>
                <w:lang w:val="ro-RO"/>
              </w:rPr>
              <w:t>241 652</w:t>
            </w:r>
          </w:p>
        </w:tc>
        <w:tc>
          <w:tcPr>
            <w:tcW w:w="3254" w:type="dxa"/>
          </w:tcPr>
          <w:p w14:paraId="772CBAE2" w14:textId="77777777" w:rsidR="00771DF9" w:rsidRPr="005C44FE" w:rsidRDefault="00771DF9" w:rsidP="00D067B2">
            <w:pPr>
              <w:jc w:val="center"/>
              <w:rPr>
                <w:rFonts w:ascii="Arial" w:hAnsi="Arial" w:cs="Arial"/>
                <w:sz w:val="24"/>
                <w:szCs w:val="24"/>
                <w:lang w:val="ro-RO"/>
              </w:rPr>
            </w:pPr>
            <w:r>
              <w:rPr>
                <w:rFonts w:ascii="Arial" w:hAnsi="Arial" w:cs="Arial"/>
                <w:sz w:val="24"/>
                <w:szCs w:val="24"/>
                <w:lang w:val="ro-RO"/>
              </w:rPr>
              <w:t>536 </w:t>
            </w:r>
          </w:p>
        </w:tc>
      </w:tr>
    </w:tbl>
    <w:p w14:paraId="4ED0A315" w14:textId="1BC682DF" w:rsidR="00771DF9" w:rsidRPr="002D78CE" w:rsidRDefault="00A80753" w:rsidP="00771DF9">
      <w:pPr>
        <w:jc w:val="both"/>
        <w:rPr>
          <w:rFonts w:ascii="Arial" w:hAnsi="Arial" w:cs="Arial"/>
          <w:i/>
          <w:iCs/>
          <w:sz w:val="20"/>
          <w:szCs w:val="20"/>
          <w:lang w:val="ro-RO"/>
        </w:rPr>
      </w:pPr>
      <w:r>
        <w:rPr>
          <w:rFonts w:ascii="Arial" w:hAnsi="Arial" w:cs="Arial"/>
          <w:i/>
          <w:iCs/>
          <w:sz w:val="20"/>
          <w:szCs w:val="20"/>
          <w:lang w:val="ro-RO"/>
        </w:rPr>
        <w:t>Sourse</w:t>
      </w:r>
      <w:r w:rsidR="00771DF9" w:rsidRPr="002D78CE">
        <w:rPr>
          <w:rFonts w:ascii="Arial" w:hAnsi="Arial" w:cs="Arial"/>
          <w:i/>
          <w:iCs/>
          <w:sz w:val="20"/>
          <w:szCs w:val="20"/>
          <w:lang w:val="ro-RO"/>
        </w:rPr>
        <w:t>: NGM Company</w:t>
      </w:r>
    </w:p>
    <w:p w14:paraId="08F60DD2" w14:textId="658502E3" w:rsidR="00B76D68" w:rsidRPr="0045217A" w:rsidRDefault="00A80753" w:rsidP="009B62B9">
      <w:pPr>
        <w:jc w:val="both"/>
        <w:rPr>
          <w:rFonts w:ascii="Arial" w:hAnsi="Arial" w:cs="Arial"/>
          <w:sz w:val="24"/>
          <w:szCs w:val="24"/>
          <w:u w:val="single"/>
          <w:lang w:val="ro-RO"/>
        </w:rPr>
      </w:pPr>
      <w:r w:rsidRPr="00A80753">
        <w:rPr>
          <w:rFonts w:ascii="Arial" w:hAnsi="Arial" w:cs="Arial"/>
          <w:sz w:val="24"/>
          <w:szCs w:val="24"/>
          <w:lang w:val="ro-RO"/>
        </w:rPr>
        <w:t xml:space="preserve">The NBM has such information only since 2018, when 1.23 million operations totaling over 280 million lei were carried out. In 2019, the number of transactions increased by almost 600 thousand, and the amount deposited on unauthorized profile sites-by over 100 million lei. In the same period, 5.43 million lei was destined for the legal sector. In the following year, the value of transactions rose to more than 520 million lei, of which 8.7 </w:t>
      </w:r>
      <w:proofErr w:type="spellStart"/>
      <w:r w:rsidRPr="00A80753">
        <w:rPr>
          <w:rFonts w:ascii="Arial" w:hAnsi="Arial" w:cs="Arial"/>
          <w:sz w:val="24"/>
          <w:szCs w:val="24"/>
          <w:lang w:val="ro-RO"/>
        </w:rPr>
        <w:t>million</w:t>
      </w:r>
      <w:proofErr w:type="spellEnd"/>
      <w:r w:rsidRPr="00A80753">
        <w:rPr>
          <w:rFonts w:ascii="Arial" w:hAnsi="Arial" w:cs="Arial"/>
          <w:sz w:val="24"/>
          <w:szCs w:val="24"/>
          <w:lang w:val="ro-RO"/>
        </w:rPr>
        <w:t xml:space="preserve"> lei </w:t>
      </w:r>
      <w:proofErr w:type="spellStart"/>
      <w:r w:rsidRPr="00A80753">
        <w:rPr>
          <w:rFonts w:ascii="Arial" w:hAnsi="Arial" w:cs="Arial"/>
          <w:sz w:val="24"/>
          <w:szCs w:val="24"/>
          <w:lang w:val="ro-RO"/>
        </w:rPr>
        <w:t>reached</w:t>
      </w:r>
      <w:proofErr w:type="spellEnd"/>
      <w:r w:rsidR="00CA6FAC">
        <w:rPr>
          <w:rFonts w:ascii="Arial" w:hAnsi="Arial" w:cs="Arial"/>
          <w:sz w:val="24"/>
          <w:szCs w:val="24"/>
          <w:lang w:val="ro-RO"/>
        </w:rPr>
        <w:t xml:space="preserve"> </w:t>
      </w:r>
      <w:hyperlink r:id="rId6" w:history="1">
        <w:r w:rsidR="00CA6FAC" w:rsidRPr="00C84774">
          <w:rPr>
            <w:rStyle w:val="a4"/>
            <w:rFonts w:ascii="Arial" w:hAnsi="Arial" w:cs="Arial"/>
            <w:sz w:val="24"/>
            <w:szCs w:val="24"/>
            <w:lang w:val="ro-RO"/>
          </w:rPr>
          <w:t>www.7777.md</w:t>
        </w:r>
      </w:hyperlink>
      <w:r w:rsidR="00CA6FAC">
        <w:rPr>
          <w:rFonts w:ascii="Arial" w:hAnsi="Arial" w:cs="Arial"/>
          <w:sz w:val="24"/>
          <w:szCs w:val="24"/>
          <w:lang w:val="ro-RO"/>
        </w:rPr>
        <w:t xml:space="preserve">. </w:t>
      </w:r>
      <w:r w:rsidRPr="00A80753">
        <w:rPr>
          <w:rFonts w:ascii="Arial" w:hAnsi="Arial" w:cs="Arial"/>
          <w:sz w:val="24"/>
          <w:szCs w:val="24"/>
          <w:u w:val="single"/>
          <w:lang w:val="ro-RO"/>
        </w:rPr>
        <w:t>As a result, companies operating illegally in our country attracted more than 511 million lei from Moldavian players in 2020</w:t>
      </w:r>
      <w:r w:rsidR="002B5A33" w:rsidRPr="0045217A">
        <w:rPr>
          <w:rFonts w:ascii="Arial" w:hAnsi="Arial" w:cs="Arial"/>
          <w:sz w:val="24"/>
          <w:szCs w:val="24"/>
          <w:u w:val="single"/>
          <w:lang w:val="ro-RO"/>
        </w:rPr>
        <w:t xml:space="preserve">. </w:t>
      </w:r>
    </w:p>
    <w:p w14:paraId="22AAC0BF" w14:textId="71CC92D9" w:rsidR="00F06635" w:rsidRDefault="00E3547A" w:rsidP="00A73139">
      <w:pPr>
        <w:jc w:val="both"/>
        <w:rPr>
          <w:rFonts w:ascii="Arial" w:hAnsi="Arial" w:cs="Arial"/>
          <w:sz w:val="24"/>
          <w:szCs w:val="24"/>
          <w:lang w:val="ro-RO"/>
        </w:rPr>
      </w:pPr>
      <w:r w:rsidRPr="00E3547A">
        <w:rPr>
          <w:rFonts w:ascii="Arial" w:hAnsi="Arial" w:cs="Arial"/>
          <w:sz w:val="24"/>
          <w:szCs w:val="24"/>
          <w:lang w:val="ro-RO"/>
        </w:rPr>
        <w:t xml:space="preserve">The situation changed the following year, when the blocking of access to unauthorized gambling sites began in the Republic of Moldova in March 2021. In parallel, payment operators also restricted payments for them. The result of these measures is the </w:t>
      </w:r>
      <w:r w:rsidRPr="00E3547A">
        <w:rPr>
          <w:rFonts w:ascii="Arial" w:hAnsi="Arial" w:cs="Arial"/>
          <w:sz w:val="24"/>
          <w:szCs w:val="24"/>
          <w:u w:val="single"/>
          <w:lang w:val="ro-RO"/>
        </w:rPr>
        <w:t>reduction of up to 155.5 million lei</w:t>
      </w:r>
      <w:r w:rsidRPr="00E3547A">
        <w:rPr>
          <w:rFonts w:ascii="Arial" w:hAnsi="Arial" w:cs="Arial"/>
          <w:sz w:val="24"/>
          <w:szCs w:val="24"/>
          <w:lang w:val="ro-RO"/>
        </w:rPr>
        <w:t xml:space="preserve"> of the amounts directed to organizers of illegal online lotteries and sports betting</w:t>
      </w:r>
      <w:r w:rsidR="00A73139">
        <w:rPr>
          <w:rFonts w:ascii="Arial" w:hAnsi="Arial" w:cs="Arial"/>
          <w:sz w:val="24"/>
          <w:szCs w:val="24"/>
          <w:lang w:val="ro-RO"/>
        </w:rPr>
        <w:t xml:space="preserve">. </w:t>
      </w:r>
    </w:p>
    <w:p w14:paraId="18F30B86" w14:textId="3D8BD1BC" w:rsidR="002E3A07" w:rsidRPr="0045217A" w:rsidRDefault="00E3547A" w:rsidP="00A73139">
      <w:pPr>
        <w:jc w:val="both"/>
        <w:rPr>
          <w:rFonts w:ascii="Arial" w:hAnsi="Arial" w:cs="Arial"/>
          <w:b/>
          <w:bCs/>
          <w:i/>
          <w:iCs/>
          <w:sz w:val="24"/>
          <w:szCs w:val="24"/>
          <w:lang w:val="ro-RO"/>
        </w:rPr>
      </w:pPr>
      <w:r w:rsidRPr="00E3547A">
        <w:rPr>
          <w:rFonts w:ascii="Arial" w:hAnsi="Arial" w:cs="Arial"/>
          <w:b/>
          <w:bCs/>
          <w:i/>
          <w:iCs/>
          <w:sz w:val="24"/>
          <w:szCs w:val="24"/>
          <w:lang w:val="ro-RO"/>
        </w:rPr>
        <w:t>These data were based on an extensive study on the situation related to gambling in the Republic of Moldova and the regulation of the sector, the first of its kind in our country. The research will be made public in the near future</w:t>
      </w:r>
      <w:r w:rsidR="00B13EA4" w:rsidRPr="0045217A">
        <w:rPr>
          <w:rFonts w:ascii="Arial" w:hAnsi="Arial" w:cs="Arial"/>
          <w:b/>
          <w:bCs/>
          <w:i/>
          <w:iCs/>
          <w:sz w:val="24"/>
          <w:szCs w:val="24"/>
          <w:lang w:val="ro-RO"/>
        </w:rPr>
        <w:t>.</w:t>
      </w:r>
    </w:p>
    <w:p w14:paraId="13423CEA" w14:textId="77777777" w:rsidR="00A73139" w:rsidRDefault="00A73139" w:rsidP="00A73139">
      <w:pPr>
        <w:jc w:val="both"/>
        <w:rPr>
          <w:rFonts w:ascii="Arial" w:hAnsi="Arial" w:cs="Arial"/>
          <w:sz w:val="24"/>
          <w:szCs w:val="24"/>
          <w:lang w:val="ro-RO"/>
        </w:rPr>
      </w:pPr>
    </w:p>
    <w:p w14:paraId="267A93F0" w14:textId="77777777" w:rsidR="00F06635" w:rsidRDefault="00F06635" w:rsidP="00F71D64">
      <w:pPr>
        <w:jc w:val="both"/>
        <w:rPr>
          <w:rFonts w:ascii="Arial" w:hAnsi="Arial" w:cs="Arial"/>
          <w:sz w:val="24"/>
          <w:szCs w:val="24"/>
          <w:lang w:val="ro-RO"/>
        </w:rPr>
      </w:pPr>
    </w:p>
    <w:sectPr w:rsidR="00F066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64"/>
    <w:rsid w:val="000403C8"/>
    <w:rsid w:val="000B1A33"/>
    <w:rsid w:val="001318B0"/>
    <w:rsid w:val="001B33EB"/>
    <w:rsid w:val="002B5A33"/>
    <w:rsid w:val="002C4C68"/>
    <w:rsid w:val="002D78CE"/>
    <w:rsid w:val="002E3A07"/>
    <w:rsid w:val="00336C89"/>
    <w:rsid w:val="00354B02"/>
    <w:rsid w:val="00382B8F"/>
    <w:rsid w:val="003927E4"/>
    <w:rsid w:val="00393EE5"/>
    <w:rsid w:val="003D4070"/>
    <w:rsid w:val="003E328E"/>
    <w:rsid w:val="00407EF5"/>
    <w:rsid w:val="004152FE"/>
    <w:rsid w:val="004431BC"/>
    <w:rsid w:val="0045217A"/>
    <w:rsid w:val="0046121B"/>
    <w:rsid w:val="005046DE"/>
    <w:rsid w:val="005107F5"/>
    <w:rsid w:val="00524ECA"/>
    <w:rsid w:val="00530236"/>
    <w:rsid w:val="0054138B"/>
    <w:rsid w:val="005C44FE"/>
    <w:rsid w:val="005C7DAC"/>
    <w:rsid w:val="00641419"/>
    <w:rsid w:val="0065213B"/>
    <w:rsid w:val="00675C41"/>
    <w:rsid w:val="006764EF"/>
    <w:rsid w:val="006776B1"/>
    <w:rsid w:val="006C40E2"/>
    <w:rsid w:val="006C7672"/>
    <w:rsid w:val="006D0964"/>
    <w:rsid w:val="00707AC3"/>
    <w:rsid w:val="00771DF9"/>
    <w:rsid w:val="007848AF"/>
    <w:rsid w:val="007C0E0E"/>
    <w:rsid w:val="007D0E6C"/>
    <w:rsid w:val="00840E53"/>
    <w:rsid w:val="008637AA"/>
    <w:rsid w:val="0099394C"/>
    <w:rsid w:val="009B62B9"/>
    <w:rsid w:val="009D478D"/>
    <w:rsid w:val="009E32A0"/>
    <w:rsid w:val="00A1135E"/>
    <w:rsid w:val="00A2363E"/>
    <w:rsid w:val="00A73139"/>
    <w:rsid w:val="00A80753"/>
    <w:rsid w:val="00A83144"/>
    <w:rsid w:val="00AB5B80"/>
    <w:rsid w:val="00AF32E2"/>
    <w:rsid w:val="00B13EA4"/>
    <w:rsid w:val="00B32878"/>
    <w:rsid w:val="00B50477"/>
    <w:rsid w:val="00B76D68"/>
    <w:rsid w:val="00BC63DB"/>
    <w:rsid w:val="00BD6DF4"/>
    <w:rsid w:val="00BF0D97"/>
    <w:rsid w:val="00C6668D"/>
    <w:rsid w:val="00C6724E"/>
    <w:rsid w:val="00CA6FAC"/>
    <w:rsid w:val="00CD05AF"/>
    <w:rsid w:val="00CD232A"/>
    <w:rsid w:val="00CF2492"/>
    <w:rsid w:val="00D130DA"/>
    <w:rsid w:val="00D24275"/>
    <w:rsid w:val="00E3547A"/>
    <w:rsid w:val="00E725F7"/>
    <w:rsid w:val="00F06635"/>
    <w:rsid w:val="00F64432"/>
    <w:rsid w:val="00F71D64"/>
    <w:rsid w:val="00F74B79"/>
    <w:rsid w:val="00F9022E"/>
    <w:rsid w:val="00FC4E7B"/>
    <w:rsid w:val="00FF0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B88D2"/>
  <w15:docId w15:val="{CF9B885E-B056-4692-86D1-2871A5981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3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F0D97"/>
    <w:rPr>
      <w:color w:val="0563C1" w:themeColor="hyperlink"/>
      <w:u w:val="single"/>
    </w:rPr>
  </w:style>
  <w:style w:type="character" w:customStyle="1" w:styleId="1">
    <w:name w:val="Неразрешенное упоминание1"/>
    <w:basedOn w:val="a0"/>
    <w:uiPriority w:val="99"/>
    <w:semiHidden/>
    <w:unhideWhenUsed/>
    <w:rsid w:val="00BF0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44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7777.md" TargetMode="External"/><Relationship Id="rId5" Type="http://schemas.openxmlformats.org/officeDocument/2006/relationships/hyperlink" Target="http://www.7777.md"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Gisca</dc:creator>
  <cp:keywords/>
  <dc:description/>
  <cp:lastModifiedBy>Victoria</cp:lastModifiedBy>
  <cp:revision>2</cp:revision>
  <dcterms:created xsi:type="dcterms:W3CDTF">2022-06-27T07:19:00Z</dcterms:created>
  <dcterms:modified xsi:type="dcterms:W3CDTF">2022-06-27T07:19:00Z</dcterms:modified>
</cp:coreProperties>
</file>