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6BB0" w14:textId="6EB6D52E" w:rsidR="002A1A42" w:rsidRDefault="002A1A42" w:rsidP="00B2602E">
      <w:pPr>
        <w:jc w:val="both"/>
        <w:rPr>
          <w:rFonts w:ascii="Arial" w:hAnsi="Arial" w:cs="Arial"/>
          <w:b/>
          <w:bCs/>
          <w:sz w:val="24"/>
          <w:szCs w:val="24"/>
          <w:lang w:val="ro-RO"/>
        </w:rPr>
      </w:pPr>
      <w:r>
        <w:rPr>
          <w:rFonts w:ascii="Arial" w:hAnsi="Arial" w:cs="Arial"/>
          <w:b/>
          <w:bCs/>
          <w:noProof/>
          <w:sz w:val="24"/>
          <w:szCs w:val="24"/>
          <w:lang w:val="ro-RO"/>
        </w:rPr>
        <w:drawing>
          <wp:anchor distT="0" distB="0" distL="114300" distR="114300" simplePos="0" relativeHeight="251658240" behindDoc="0" locked="0" layoutInCell="1" allowOverlap="1" wp14:anchorId="771D4370" wp14:editId="3791EF1F">
            <wp:simplePos x="0" y="0"/>
            <wp:positionH relativeFrom="page">
              <wp:align>right</wp:align>
            </wp:positionH>
            <wp:positionV relativeFrom="margin">
              <wp:posOffset>-711200</wp:posOffset>
            </wp:positionV>
            <wp:extent cx="7550150" cy="2795270"/>
            <wp:effectExtent l="0" t="0" r="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2795270"/>
                    </a:xfrm>
                    <a:prstGeom prst="rect">
                      <a:avLst/>
                    </a:prstGeom>
                  </pic:spPr>
                </pic:pic>
              </a:graphicData>
            </a:graphic>
            <wp14:sizeRelH relativeFrom="margin">
              <wp14:pctWidth>0</wp14:pctWidth>
            </wp14:sizeRelH>
            <wp14:sizeRelV relativeFrom="margin">
              <wp14:pctHeight>0</wp14:pctHeight>
            </wp14:sizeRelV>
          </wp:anchor>
        </w:drawing>
      </w:r>
    </w:p>
    <w:p w14:paraId="7DE9531F" w14:textId="49C8F965" w:rsidR="00B2602E" w:rsidRPr="002A1A42" w:rsidRDefault="00B2602E" w:rsidP="00B2602E">
      <w:pPr>
        <w:jc w:val="both"/>
        <w:rPr>
          <w:rFonts w:ascii="Arial" w:hAnsi="Arial" w:cs="Arial"/>
          <w:b/>
          <w:bCs/>
          <w:sz w:val="28"/>
          <w:szCs w:val="28"/>
          <w:lang w:val="ro-RO"/>
        </w:rPr>
      </w:pPr>
      <w:r w:rsidRPr="002A1A42">
        <w:rPr>
          <w:rFonts w:ascii="Arial" w:hAnsi="Arial" w:cs="Arial"/>
          <w:b/>
          <w:bCs/>
          <w:sz w:val="28"/>
          <w:szCs w:val="28"/>
          <w:lang w:val="ro-RO"/>
        </w:rPr>
        <w:t>Suedia a renunțat să interzică publicitatea jocurilor de noroc: autoritățile evaluează riscurile și se concentrează pe combaterea afacerilor ilegale</w:t>
      </w:r>
    </w:p>
    <w:p w14:paraId="7B26BB87" w14:textId="77777777" w:rsidR="00B2602E" w:rsidRPr="00B2602E" w:rsidRDefault="00B2602E" w:rsidP="00B2602E">
      <w:pPr>
        <w:jc w:val="both"/>
        <w:rPr>
          <w:rFonts w:ascii="Arial" w:hAnsi="Arial" w:cs="Arial"/>
          <w:sz w:val="24"/>
          <w:szCs w:val="24"/>
          <w:lang w:val="ro-RO"/>
        </w:rPr>
      </w:pPr>
    </w:p>
    <w:p w14:paraId="17F52035" w14:textId="51DF7801" w:rsidR="00B2602E" w:rsidRPr="002A1A42" w:rsidRDefault="00B2602E" w:rsidP="00B2602E">
      <w:pPr>
        <w:jc w:val="both"/>
        <w:rPr>
          <w:rFonts w:ascii="Arial" w:hAnsi="Arial" w:cs="Arial"/>
          <w:b/>
          <w:bCs/>
          <w:sz w:val="24"/>
          <w:szCs w:val="24"/>
          <w:lang w:val="ro-RO"/>
        </w:rPr>
      </w:pPr>
      <w:r w:rsidRPr="002A1A42">
        <w:rPr>
          <w:rFonts w:ascii="Arial" w:hAnsi="Arial" w:cs="Arial"/>
          <w:b/>
          <w:bCs/>
          <w:sz w:val="24"/>
          <w:szCs w:val="24"/>
          <w:lang w:val="ro-RO"/>
        </w:rPr>
        <w:t xml:space="preserve">Publicitatea jocurilor de noroc trebuie să fie responsabilă - cu reguli și limitări stricte în privința minorilor. Dar interzicerea totală a acesteia ar afecta bugetul de stat și ar încuraja dezvoltarea sectorului informal. La această concluzie au ajuns experții din mai multe țări europene, în procesul discutării mai multor legi de reglementare a sectorului. Principiul de bază al unei soluții eficiente este dialogul cu reprezentanții industriei pentru a elabora cele mai bune practici. </w:t>
      </w:r>
    </w:p>
    <w:p w14:paraId="31E155F7" w14:textId="041958F9" w:rsidR="00B2602E" w:rsidRPr="00B2602E" w:rsidRDefault="00B2602E" w:rsidP="00B2602E">
      <w:pPr>
        <w:jc w:val="both"/>
        <w:rPr>
          <w:rFonts w:ascii="Arial" w:hAnsi="Arial" w:cs="Arial"/>
          <w:sz w:val="24"/>
          <w:szCs w:val="24"/>
          <w:lang w:val="ro-RO"/>
        </w:rPr>
      </w:pPr>
      <w:r w:rsidRPr="00B2602E">
        <w:rPr>
          <w:rFonts w:ascii="Arial" w:hAnsi="Arial" w:cs="Arial"/>
          <w:sz w:val="24"/>
          <w:szCs w:val="24"/>
          <w:lang w:val="ro-RO"/>
        </w:rPr>
        <w:t xml:space="preserve">Guvernul suedez, de exemplu, </w:t>
      </w:r>
      <w:hyperlink r:id="rId8" w:history="1">
        <w:r w:rsidRPr="002A1A42">
          <w:rPr>
            <w:rStyle w:val="a3"/>
            <w:rFonts w:ascii="Arial" w:hAnsi="Arial" w:cs="Arial"/>
            <w:sz w:val="24"/>
            <w:szCs w:val="24"/>
            <w:lang w:val="ro-RO"/>
          </w:rPr>
          <w:t>a renunțat</w:t>
        </w:r>
      </w:hyperlink>
      <w:r w:rsidRPr="00B2602E">
        <w:rPr>
          <w:rFonts w:ascii="Arial" w:hAnsi="Arial" w:cs="Arial"/>
          <w:sz w:val="24"/>
          <w:szCs w:val="24"/>
          <w:lang w:val="ro-RO"/>
        </w:rPr>
        <w:t xml:space="preserve"> la ideea unei interdicții totale a publicității pentru jocurile de noroc. Spre deosebire de versiunea inițială a proiectului de lege, documentul final permite operatorilor licențiați să facă publicitate la TV, radio și </w:t>
      </w:r>
      <w:r>
        <w:rPr>
          <w:rFonts w:ascii="Arial" w:hAnsi="Arial" w:cs="Arial"/>
          <w:sz w:val="24"/>
          <w:szCs w:val="24"/>
          <w:lang w:val="ro-RO"/>
        </w:rPr>
        <w:t xml:space="preserve">online, </w:t>
      </w:r>
      <w:r w:rsidRPr="00B2602E">
        <w:rPr>
          <w:rFonts w:ascii="Arial" w:hAnsi="Arial" w:cs="Arial"/>
          <w:sz w:val="24"/>
          <w:szCs w:val="24"/>
          <w:lang w:val="ro-RO"/>
        </w:rPr>
        <w:t xml:space="preserve">fără limită de timp. În plus, "Legea privind îmbunătățirea jocurilor de noroc", care a fost adoptată, propune măsuri de combatere a jocurilor de noroc </w:t>
      </w:r>
      <w:r>
        <w:rPr>
          <w:rFonts w:ascii="Arial" w:hAnsi="Arial" w:cs="Arial"/>
          <w:sz w:val="24"/>
          <w:szCs w:val="24"/>
          <w:lang w:val="ro-RO"/>
        </w:rPr>
        <w:t>neautorizate</w:t>
      </w:r>
      <w:r w:rsidRPr="00B2602E">
        <w:rPr>
          <w:rFonts w:ascii="Arial" w:hAnsi="Arial" w:cs="Arial"/>
          <w:sz w:val="24"/>
          <w:szCs w:val="24"/>
          <w:lang w:val="ro-RO"/>
        </w:rPr>
        <w:t>.</w:t>
      </w:r>
    </w:p>
    <w:p w14:paraId="2CABADDD" w14:textId="2E73B951" w:rsidR="00B2602E" w:rsidRPr="00B2602E" w:rsidRDefault="00B2602E" w:rsidP="00B2602E">
      <w:pPr>
        <w:jc w:val="both"/>
        <w:rPr>
          <w:rFonts w:ascii="Arial" w:hAnsi="Arial" w:cs="Arial"/>
          <w:sz w:val="24"/>
          <w:szCs w:val="24"/>
          <w:lang w:val="ro-RO"/>
        </w:rPr>
      </w:pPr>
      <w:r w:rsidRPr="00B2602E">
        <w:rPr>
          <w:rFonts w:ascii="Arial" w:hAnsi="Arial" w:cs="Arial"/>
          <w:sz w:val="24"/>
          <w:szCs w:val="24"/>
          <w:lang w:val="ro-RO"/>
        </w:rPr>
        <w:t>"Suntem încântați că guvernul a ascultat părțile interesate din industria jocurilor de noroc, precum și mai mulți editori</w:t>
      </w:r>
      <w:r>
        <w:rPr>
          <w:rFonts w:ascii="Arial" w:hAnsi="Arial" w:cs="Arial"/>
          <w:sz w:val="24"/>
          <w:szCs w:val="24"/>
          <w:lang w:val="ro-RO"/>
        </w:rPr>
        <w:t>,</w:t>
      </w:r>
      <w:r w:rsidRPr="00B2602E">
        <w:rPr>
          <w:rFonts w:ascii="Arial" w:hAnsi="Arial" w:cs="Arial"/>
          <w:sz w:val="24"/>
          <w:szCs w:val="24"/>
          <w:lang w:val="ro-RO"/>
        </w:rPr>
        <w:t xml:space="preserve"> care au subliniat deficiențele unei astfel de propuneri", a </w:t>
      </w:r>
      <w:hyperlink r:id="rId9" w:history="1">
        <w:r w:rsidRPr="002A1A42">
          <w:rPr>
            <w:rStyle w:val="a3"/>
            <w:rFonts w:ascii="Arial" w:hAnsi="Arial" w:cs="Arial"/>
            <w:sz w:val="24"/>
            <w:szCs w:val="24"/>
            <w:lang w:val="ro-RO"/>
          </w:rPr>
          <w:t>declarat</w:t>
        </w:r>
      </w:hyperlink>
      <w:r w:rsidRPr="00B2602E">
        <w:rPr>
          <w:rFonts w:ascii="Arial" w:hAnsi="Arial" w:cs="Arial"/>
          <w:sz w:val="24"/>
          <w:szCs w:val="24"/>
          <w:lang w:val="ro-RO"/>
        </w:rPr>
        <w:t xml:space="preserve"> Gusta</w:t>
      </w:r>
      <w:r>
        <w:rPr>
          <w:rFonts w:ascii="Arial" w:hAnsi="Arial" w:cs="Arial"/>
          <w:sz w:val="24"/>
          <w:szCs w:val="24"/>
          <w:lang w:val="ro-RO"/>
        </w:rPr>
        <w:t>f</w:t>
      </w:r>
      <w:r w:rsidRPr="00B2602E">
        <w:rPr>
          <w:rFonts w:ascii="Arial" w:hAnsi="Arial" w:cs="Arial"/>
          <w:sz w:val="24"/>
          <w:szCs w:val="24"/>
          <w:lang w:val="ro-RO"/>
        </w:rPr>
        <w:t xml:space="preserve"> Hoffstedt, secretar general al Asociației</w:t>
      </w:r>
      <w:r>
        <w:rPr>
          <w:rFonts w:ascii="Arial" w:hAnsi="Arial" w:cs="Arial"/>
          <w:sz w:val="24"/>
          <w:szCs w:val="24"/>
          <w:lang w:val="ro-RO"/>
        </w:rPr>
        <w:t xml:space="preserve"> comerciale</w:t>
      </w:r>
      <w:r w:rsidRPr="00B2602E">
        <w:rPr>
          <w:rFonts w:ascii="Arial" w:hAnsi="Arial" w:cs="Arial"/>
          <w:sz w:val="24"/>
          <w:szCs w:val="24"/>
          <w:lang w:val="ro-RO"/>
        </w:rPr>
        <w:t xml:space="preserve"> suedeze a jocuri</w:t>
      </w:r>
      <w:r>
        <w:rPr>
          <w:rFonts w:ascii="Arial" w:hAnsi="Arial" w:cs="Arial"/>
          <w:sz w:val="24"/>
          <w:szCs w:val="24"/>
          <w:lang w:val="ro-RO"/>
        </w:rPr>
        <w:t>lor</w:t>
      </w:r>
      <w:r w:rsidRPr="00B2602E">
        <w:rPr>
          <w:rFonts w:ascii="Arial" w:hAnsi="Arial" w:cs="Arial"/>
          <w:sz w:val="24"/>
          <w:szCs w:val="24"/>
          <w:lang w:val="ro-RO"/>
        </w:rPr>
        <w:t xml:space="preserve"> de noroc online (BOS). </w:t>
      </w:r>
    </w:p>
    <w:p w14:paraId="5139B58D" w14:textId="1F2E2573" w:rsidR="00B2602E" w:rsidRPr="00B2602E" w:rsidRDefault="00B2602E" w:rsidP="00B2602E">
      <w:pPr>
        <w:jc w:val="both"/>
        <w:rPr>
          <w:rFonts w:ascii="Arial" w:hAnsi="Arial" w:cs="Arial"/>
          <w:sz w:val="24"/>
          <w:szCs w:val="24"/>
          <w:lang w:val="ro-RO"/>
        </w:rPr>
      </w:pPr>
      <w:r w:rsidRPr="00B2602E">
        <w:rPr>
          <w:rFonts w:ascii="Arial" w:hAnsi="Arial" w:cs="Arial"/>
          <w:sz w:val="24"/>
          <w:szCs w:val="24"/>
          <w:lang w:val="ro-RO"/>
        </w:rPr>
        <w:t xml:space="preserve">Anterior, asociația a prezentat autorităților un </w:t>
      </w:r>
      <w:hyperlink r:id="rId10" w:history="1">
        <w:r w:rsidRPr="002A1A42">
          <w:rPr>
            <w:rStyle w:val="a3"/>
            <w:rFonts w:ascii="Arial" w:hAnsi="Arial" w:cs="Arial"/>
            <w:sz w:val="24"/>
            <w:szCs w:val="24"/>
            <w:lang w:val="ro-RO"/>
          </w:rPr>
          <w:t>studiu</w:t>
        </w:r>
      </w:hyperlink>
      <w:r w:rsidRPr="00B2602E">
        <w:rPr>
          <w:rFonts w:ascii="Arial" w:hAnsi="Arial" w:cs="Arial"/>
          <w:sz w:val="24"/>
          <w:szCs w:val="24"/>
          <w:lang w:val="ro-RO"/>
        </w:rPr>
        <w:t xml:space="preserve"> independent. Potrivit analizei, industria jocurilor de noroc generează anual pentru bugetul suedez aproximativ 10 miliarde de coroane suedeze (peste 940 de milioane de euro). Activitățile de jocuri de noroc licențiate oferă aproximativ 4 200 de locuri de muncă permanente. De asemenea, industria investește aproximativ 800 de milioane de coroane suedeze în sponsorizarea sporturilor naționale, iar operatorii plătesc anual aproximativ 4 miliarde de coroane suedeze </w:t>
      </w:r>
      <w:r w:rsidR="00E64D84">
        <w:rPr>
          <w:rFonts w:ascii="Arial" w:hAnsi="Arial" w:cs="Arial"/>
          <w:sz w:val="24"/>
          <w:szCs w:val="24"/>
          <w:lang w:val="ro-RO"/>
        </w:rPr>
        <w:t>sub formă de</w:t>
      </w:r>
      <w:r w:rsidRPr="00B2602E">
        <w:rPr>
          <w:rFonts w:ascii="Arial" w:hAnsi="Arial" w:cs="Arial"/>
          <w:sz w:val="24"/>
          <w:szCs w:val="24"/>
          <w:lang w:val="ro-RO"/>
        </w:rPr>
        <w:t xml:space="preserve"> impozite. </w:t>
      </w:r>
    </w:p>
    <w:p w14:paraId="2DF6B9E4" w14:textId="33758B1F" w:rsidR="00B2602E" w:rsidRPr="00B2602E" w:rsidRDefault="00B2602E" w:rsidP="00E64D84">
      <w:pPr>
        <w:jc w:val="both"/>
        <w:rPr>
          <w:rFonts w:ascii="Arial" w:hAnsi="Arial" w:cs="Arial"/>
          <w:sz w:val="24"/>
          <w:szCs w:val="24"/>
          <w:lang w:val="ro-RO"/>
        </w:rPr>
      </w:pPr>
      <w:r w:rsidRPr="00B2602E">
        <w:rPr>
          <w:rFonts w:ascii="Arial" w:hAnsi="Arial" w:cs="Arial"/>
          <w:sz w:val="24"/>
          <w:szCs w:val="24"/>
          <w:lang w:val="ro-RO"/>
        </w:rPr>
        <w:t xml:space="preserve">Autorii studiului au subliniat importanța încurajării jucătorilor de a folosi </w:t>
      </w:r>
      <w:r w:rsidR="00E64D84">
        <w:rPr>
          <w:rFonts w:ascii="Arial" w:hAnsi="Arial" w:cs="Arial"/>
          <w:sz w:val="24"/>
          <w:szCs w:val="24"/>
          <w:lang w:val="ro-RO"/>
        </w:rPr>
        <w:t>doar serviciile operatorilor licențiați</w:t>
      </w:r>
      <w:r w:rsidRPr="00B2602E">
        <w:rPr>
          <w:rFonts w:ascii="Arial" w:hAnsi="Arial" w:cs="Arial"/>
          <w:sz w:val="24"/>
          <w:szCs w:val="24"/>
          <w:lang w:val="ro-RO"/>
        </w:rPr>
        <w:t xml:space="preserve">. </w:t>
      </w:r>
    </w:p>
    <w:p w14:paraId="6D46273B" w14:textId="3DDD2387" w:rsidR="00B2602E" w:rsidRPr="00B2602E" w:rsidRDefault="00B2602E" w:rsidP="00B2602E">
      <w:pPr>
        <w:jc w:val="both"/>
        <w:rPr>
          <w:rFonts w:ascii="Arial" w:hAnsi="Arial" w:cs="Arial"/>
          <w:sz w:val="24"/>
          <w:szCs w:val="24"/>
          <w:lang w:val="ro-RO"/>
        </w:rPr>
      </w:pPr>
      <w:r w:rsidRPr="00B2602E">
        <w:rPr>
          <w:rFonts w:ascii="Arial" w:hAnsi="Arial" w:cs="Arial"/>
          <w:sz w:val="24"/>
          <w:szCs w:val="24"/>
          <w:lang w:val="ro-RO"/>
        </w:rPr>
        <w:t>"Suedia ar putea beneficia de pe urma revizuirii reglementărilor privind jocurile de noroc pentru a ușura unele dintre restricțiile care forțează majoritatea consumatorilor de jocuri de noroc să treacă la jocuri fără licență", a declarat autorul studiului, Dr. Nima Sanandaji.</w:t>
      </w:r>
    </w:p>
    <w:p w14:paraId="375C069C" w14:textId="7044B557" w:rsidR="00B2602E" w:rsidRPr="00B2602E" w:rsidRDefault="00E64D84" w:rsidP="00E64D84">
      <w:pPr>
        <w:jc w:val="both"/>
        <w:rPr>
          <w:rFonts w:ascii="Arial" w:hAnsi="Arial" w:cs="Arial"/>
          <w:sz w:val="24"/>
          <w:szCs w:val="24"/>
          <w:lang w:val="ro-RO"/>
        </w:rPr>
      </w:pPr>
      <w:r>
        <w:rPr>
          <w:rFonts w:ascii="Arial" w:hAnsi="Arial" w:cs="Arial"/>
          <w:sz w:val="24"/>
          <w:szCs w:val="24"/>
          <w:lang w:val="ro-RO"/>
        </w:rPr>
        <w:lastRenderedPageBreak/>
        <w:t>A</w:t>
      </w:r>
      <w:r w:rsidR="00B2602E" w:rsidRPr="00B2602E">
        <w:rPr>
          <w:rFonts w:ascii="Arial" w:hAnsi="Arial" w:cs="Arial"/>
          <w:sz w:val="24"/>
          <w:szCs w:val="24"/>
          <w:lang w:val="ro-RO"/>
        </w:rPr>
        <w:t>mintim că publicitatea jocuri</w:t>
      </w:r>
      <w:r>
        <w:rPr>
          <w:rFonts w:ascii="Arial" w:hAnsi="Arial" w:cs="Arial"/>
          <w:sz w:val="24"/>
          <w:szCs w:val="24"/>
          <w:lang w:val="ro-RO"/>
        </w:rPr>
        <w:t xml:space="preserve">lor </w:t>
      </w:r>
      <w:r w:rsidR="00B2602E" w:rsidRPr="00B2602E">
        <w:rPr>
          <w:rFonts w:ascii="Arial" w:hAnsi="Arial" w:cs="Arial"/>
          <w:sz w:val="24"/>
          <w:szCs w:val="24"/>
          <w:lang w:val="ro-RO"/>
        </w:rPr>
        <w:t xml:space="preserve">de noroc este </w:t>
      </w:r>
      <w:r>
        <w:rPr>
          <w:rFonts w:ascii="Arial" w:hAnsi="Arial" w:cs="Arial"/>
          <w:sz w:val="24"/>
          <w:szCs w:val="24"/>
          <w:lang w:val="ro-RO"/>
        </w:rPr>
        <w:t xml:space="preserve">totalmente </w:t>
      </w:r>
      <w:r w:rsidR="00B2602E" w:rsidRPr="00B2602E">
        <w:rPr>
          <w:rFonts w:ascii="Arial" w:hAnsi="Arial" w:cs="Arial"/>
          <w:sz w:val="24"/>
          <w:szCs w:val="24"/>
          <w:lang w:val="ro-RO"/>
        </w:rPr>
        <w:t>interzisă în Moldova</w:t>
      </w:r>
      <w:r>
        <w:rPr>
          <w:rFonts w:ascii="Arial" w:hAnsi="Arial" w:cs="Arial"/>
          <w:sz w:val="24"/>
          <w:szCs w:val="24"/>
          <w:lang w:val="ro-RO"/>
        </w:rPr>
        <w:t>, de la</w:t>
      </w:r>
      <w:r w:rsidR="00B2602E" w:rsidRPr="00B2602E">
        <w:rPr>
          <w:rFonts w:ascii="Arial" w:hAnsi="Arial" w:cs="Arial"/>
          <w:sz w:val="24"/>
          <w:szCs w:val="24"/>
          <w:lang w:val="ro-RO"/>
        </w:rPr>
        <w:t xml:space="preserve"> 1 ianuarie 2022. </w:t>
      </w:r>
      <w:hyperlink r:id="rId11" w:history="1">
        <w:r w:rsidR="00B2602E" w:rsidRPr="002A1A42">
          <w:rPr>
            <w:rStyle w:val="a3"/>
            <w:rFonts w:ascii="Arial" w:hAnsi="Arial" w:cs="Arial"/>
            <w:sz w:val="24"/>
            <w:szCs w:val="24"/>
            <w:lang w:val="ro-RO"/>
          </w:rPr>
          <w:t>Modificările</w:t>
        </w:r>
      </w:hyperlink>
      <w:r w:rsidR="00B2602E" w:rsidRPr="00B2602E">
        <w:rPr>
          <w:rFonts w:ascii="Arial" w:hAnsi="Arial" w:cs="Arial"/>
          <w:sz w:val="24"/>
          <w:szCs w:val="24"/>
          <w:lang w:val="ro-RO"/>
        </w:rPr>
        <w:t xml:space="preserve"> au fost adoptate fără </w:t>
      </w:r>
      <w:r>
        <w:rPr>
          <w:rFonts w:ascii="Arial" w:hAnsi="Arial" w:cs="Arial"/>
          <w:sz w:val="24"/>
          <w:szCs w:val="24"/>
          <w:lang w:val="ro-RO"/>
        </w:rPr>
        <w:t xml:space="preserve">a exista vreun studiu tematic și fără a ține cont de atenționarea </w:t>
      </w:r>
      <w:r w:rsidR="00B2602E" w:rsidRPr="00B2602E">
        <w:rPr>
          <w:rFonts w:ascii="Arial" w:hAnsi="Arial" w:cs="Arial"/>
          <w:sz w:val="24"/>
          <w:szCs w:val="24"/>
          <w:lang w:val="ro-RO"/>
        </w:rPr>
        <w:t xml:space="preserve">Ministerului Finanțelor cu privire la riscurile iminente pentru bugetul de stat. </w:t>
      </w:r>
      <w:r>
        <w:rPr>
          <w:rFonts w:ascii="Arial" w:hAnsi="Arial" w:cs="Arial"/>
          <w:sz w:val="24"/>
          <w:szCs w:val="24"/>
          <w:lang w:val="ro-RO"/>
        </w:rPr>
        <w:t xml:space="preserve">Datele operatorului legal de jocuri de noroc din țară arată că numărul utilizatorilor moldoveni de pe site-urile nelegale a crescut cu </w:t>
      </w:r>
      <w:r w:rsidR="00B2602E" w:rsidRPr="00B2602E">
        <w:rPr>
          <w:rFonts w:ascii="Arial" w:hAnsi="Arial" w:cs="Arial"/>
          <w:sz w:val="24"/>
          <w:szCs w:val="24"/>
          <w:lang w:val="ro-RO"/>
        </w:rPr>
        <w:t xml:space="preserve">peste 66%. </w:t>
      </w:r>
      <w:r>
        <w:rPr>
          <w:rFonts w:ascii="Arial" w:hAnsi="Arial" w:cs="Arial"/>
          <w:sz w:val="24"/>
          <w:szCs w:val="24"/>
          <w:lang w:val="ro-RO"/>
        </w:rPr>
        <w:t xml:space="preserve">Este vorba despre site-uri din jurisdicții offshore, în mare parte rusești, care continuă să se promoveze, </w:t>
      </w:r>
      <w:r w:rsidR="00B2602E" w:rsidRPr="00B2602E">
        <w:rPr>
          <w:rFonts w:ascii="Arial" w:hAnsi="Arial" w:cs="Arial"/>
          <w:sz w:val="24"/>
          <w:szCs w:val="24"/>
          <w:lang w:val="ro-RO"/>
        </w:rPr>
        <w:t>în ciuda interdicției.</w:t>
      </w:r>
    </w:p>
    <w:p w14:paraId="60765208" w14:textId="7C4C4E6E" w:rsidR="00B2602E" w:rsidRPr="002A1A42" w:rsidRDefault="00D1126A" w:rsidP="00E64D84">
      <w:pPr>
        <w:jc w:val="both"/>
        <w:rPr>
          <w:rFonts w:ascii="Arial" w:hAnsi="Arial" w:cs="Arial"/>
          <w:i/>
          <w:iCs/>
          <w:sz w:val="24"/>
          <w:szCs w:val="24"/>
          <w:lang w:val="ro-RO"/>
        </w:rPr>
      </w:pPr>
      <w:r w:rsidRPr="00D1126A">
        <w:rPr>
          <w:b/>
          <w:bCs/>
          <w:noProof/>
        </w:rPr>
        <w:drawing>
          <wp:anchor distT="0" distB="0" distL="114300" distR="114300" simplePos="0" relativeHeight="251659264" behindDoc="0" locked="0" layoutInCell="1" allowOverlap="1" wp14:anchorId="6FAA5BA7" wp14:editId="7CE4674D">
            <wp:simplePos x="0" y="0"/>
            <wp:positionH relativeFrom="page">
              <wp:align>left</wp:align>
            </wp:positionH>
            <wp:positionV relativeFrom="margin">
              <wp:posOffset>3355975</wp:posOffset>
            </wp:positionV>
            <wp:extent cx="7683500" cy="328803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696231" cy="3293611"/>
                    </a:xfrm>
                    <a:prstGeom prst="rect">
                      <a:avLst/>
                    </a:prstGeom>
                  </pic:spPr>
                </pic:pic>
              </a:graphicData>
            </a:graphic>
            <wp14:sizeRelH relativeFrom="margin">
              <wp14:pctWidth>0</wp14:pctWidth>
            </wp14:sizeRelH>
            <wp14:sizeRelV relativeFrom="margin">
              <wp14:pctHeight>0</wp14:pctHeight>
            </wp14:sizeRelV>
          </wp:anchor>
        </w:drawing>
      </w:r>
      <w:r w:rsidR="00E64D84" w:rsidRPr="00D1126A">
        <w:rPr>
          <w:rFonts w:ascii="Arial" w:hAnsi="Arial" w:cs="Arial"/>
          <w:b/>
          <w:bCs/>
          <w:sz w:val="24"/>
          <w:szCs w:val="24"/>
          <w:lang w:val="ro-RO"/>
        </w:rPr>
        <w:t>NOTĂ</w:t>
      </w:r>
      <w:r w:rsidR="00B2602E" w:rsidRPr="00D1126A">
        <w:rPr>
          <w:rFonts w:ascii="Arial" w:hAnsi="Arial" w:cs="Arial"/>
          <w:b/>
          <w:bCs/>
          <w:sz w:val="24"/>
          <w:szCs w:val="24"/>
          <w:lang w:val="ro-RO"/>
        </w:rPr>
        <w:t>:</w:t>
      </w:r>
      <w:r w:rsidR="00B2602E" w:rsidRPr="00B2602E">
        <w:rPr>
          <w:rFonts w:ascii="Arial" w:hAnsi="Arial" w:cs="Arial"/>
          <w:sz w:val="24"/>
          <w:szCs w:val="24"/>
          <w:lang w:val="ro-RO"/>
        </w:rPr>
        <w:t xml:space="preserve"> </w:t>
      </w:r>
      <w:hyperlink r:id="rId13" w:history="1">
        <w:r w:rsidR="00E64D84" w:rsidRPr="002A1A42">
          <w:rPr>
            <w:rStyle w:val="a3"/>
            <w:rFonts w:ascii="Arial" w:hAnsi="Arial" w:cs="Arial"/>
            <w:sz w:val="24"/>
            <w:szCs w:val="24"/>
            <w:lang w:val="ro-RO"/>
          </w:rPr>
          <w:t>Volumul</w:t>
        </w:r>
      </w:hyperlink>
      <w:r w:rsidR="00E64D84">
        <w:rPr>
          <w:rFonts w:ascii="Arial" w:hAnsi="Arial" w:cs="Arial"/>
          <w:sz w:val="24"/>
          <w:szCs w:val="24"/>
          <w:lang w:val="ro-RO"/>
        </w:rPr>
        <w:t xml:space="preserve"> </w:t>
      </w:r>
      <w:r w:rsidR="00B2602E" w:rsidRPr="00B2602E">
        <w:rPr>
          <w:rFonts w:ascii="Arial" w:hAnsi="Arial" w:cs="Arial"/>
          <w:sz w:val="24"/>
          <w:szCs w:val="24"/>
          <w:lang w:val="ro-RO"/>
        </w:rPr>
        <w:t xml:space="preserve">pieței jocurilor </w:t>
      </w:r>
      <w:r w:rsidR="00E64D84">
        <w:rPr>
          <w:rFonts w:ascii="Arial" w:hAnsi="Arial" w:cs="Arial"/>
          <w:sz w:val="24"/>
          <w:szCs w:val="24"/>
          <w:lang w:val="ro-RO"/>
        </w:rPr>
        <w:t xml:space="preserve">gri </w:t>
      </w:r>
      <w:r w:rsidR="00B2602E" w:rsidRPr="00B2602E">
        <w:rPr>
          <w:rFonts w:ascii="Arial" w:hAnsi="Arial" w:cs="Arial"/>
          <w:sz w:val="24"/>
          <w:szCs w:val="24"/>
          <w:lang w:val="ro-RO"/>
        </w:rPr>
        <w:t xml:space="preserve">de noroc din Moldova, dominată de operatorii offshore, a crescut constant în ultimii ani, </w:t>
      </w:r>
      <w:r w:rsidR="00E64D84">
        <w:rPr>
          <w:rFonts w:ascii="Arial" w:hAnsi="Arial" w:cs="Arial"/>
          <w:sz w:val="24"/>
          <w:szCs w:val="24"/>
          <w:lang w:val="ro-RO"/>
        </w:rPr>
        <w:t xml:space="preserve">culminând </w:t>
      </w:r>
      <w:r w:rsidR="00B2602E" w:rsidRPr="00B2602E">
        <w:rPr>
          <w:rFonts w:ascii="Arial" w:hAnsi="Arial" w:cs="Arial"/>
          <w:sz w:val="24"/>
          <w:szCs w:val="24"/>
          <w:lang w:val="ro-RO"/>
        </w:rPr>
        <w:t>în 2020, când a depășit 500 de milioane</w:t>
      </w:r>
      <w:r>
        <w:rPr>
          <w:rStyle w:val="aa"/>
          <w:rFonts w:ascii="Arial" w:hAnsi="Arial" w:cs="Arial"/>
          <w:sz w:val="24"/>
          <w:szCs w:val="24"/>
          <w:lang w:val="ro-RO"/>
        </w:rPr>
        <w:footnoteReference w:id="1"/>
      </w:r>
      <w:r w:rsidRPr="00B2602E">
        <w:rPr>
          <w:rFonts w:ascii="Arial" w:hAnsi="Arial" w:cs="Arial"/>
          <w:sz w:val="24"/>
          <w:szCs w:val="24"/>
          <w:lang w:val="ro-RO"/>
        </w:rPr>
        <w:t xml:space="preserve"> </w:t>
      </w:r>
      <w:r w:rsidR="00B2602E" w:rsidRPr="00B2602E">
        <w:rPr>
          <w:rFonts w:ascii="Arial" w:hAnsi="Arial" w:cs="Arial"/>
          <w:sz w:val="24"/>
          <w:szCs w:val="24"/>
          <w:lang w:val="ro-RO"/>
        </w:rPr>
        <w:t xml:space="preserve">de lei, potrivit BNM. Situația s-a schimbat abia în 2021. Atunci, Moldova a început pentru prima dată să blocheze accesul la site-urile de jocuri de noroc neautorizate și să impună alte restricții. Ca urmare a acestor măsuri, sumele primite de organizatorii de loterii și pariuri sportive online ilegale </w:t>
      </w:r>
      <w:r w:rsidR="00E64D84">
        <w:rPr>
          <w:rFonts w:ascii="Arial" w:hAnsi="Arial" w:cs="Arial"/>
          <w:sz w:val="24"/>
          <w:szCs w:val="24"/>
          <w:lang w:val="ro-RO"/>
        </w:rPr>
        <w:t>s-</w:t>
      </w:r>
      <w:r w:rsidR="00B2602E" w:rsidRPr="00B2602E">
        <w:rPr>
          <w:rFonts w:ascii="Arial" w:hAnsi="Arial" w:cs="Arial"/>
          <w:sz w:val="24"/>
          <w:szCs w:val="24"/>
          <w:lang w:val="ro-RO"/>
        </w:rPr>
        <w:t xml:space="preserve">au </w:t>
      </w:r>
      <w:r w:rsidR="00E64D84">
        <w:rPr>
          <w:rFonts w:ascii="Arial" w:hAnsi="Arial" w:cs="Arial"/>
          <w:sz w:val="24"/>
          <w:szCs w:val="24"/>
          <w:lang w:val="ro-RO"/>
        </w:rPr>
        <w:t xml:space="preserve">diminuat până </w:t>
      </w:r>
      <w:r w:rsidR="00B2602E" w:rsidRPr="00B2602E">
        <w:rPr>
          <w:rFonts w:ascii="Arial" w:hAnsi="Arial" w:cs="Arial"/>
          <w:sz w:val="24"/>
          <w:szCs w:val="24"/>
          <w:lang w:val="ro-RO"/>
        </w:rPr>
        <w:t xml:space="preserve">la 155,5 milioane de lei (doar </w:t>
      </w:r>
      <w:r w:rsidR="0036751F">
        <w:rPr>
          <w:rFonts w:ascii="Arial" w:hAnsi="Arial" w:cs="Arial"/>
          <w:sz w:val="24"/>
          <w:szCs w:val="24"/>
          <w:lang w:val="ro-RO"/>
        </w:rPr>
        <w:t xml:space="preserve">prin intermediul </w:t>
      </w:r>
      <w:r w:rsidR="00B2602E" w:rsidRPr="00B2602E">
        <w:rPr>
          <w:rFonts w:ascii="Arial" w:hAnsi="Arial" w:cs="Arial"/>
          <w:sz w:val="24"/>
          <w:szCs w:val="24"/>
          <w:lang w:val="ro-RO"/>
        </w:rPr>
        <w:t>sistemel</w:t>
      </w:r>
      <w:r w:rsidR="0036751F">
        <w:rPr>
          <w:rFonts w:ascii="Arial" w:hAnsi="Arial" w:cs="Arial"/>
          <w:sz w:val="24"/>
          <w:szCs w:val="24"/>
          <w:lang w:val="ro-RO"/>
        </w:rPr>
        <w:t>or</w:t>
      </w:r>
      <w:r w:rsidR="00B2602E" w:rsidRPr="00B2602E">
        <w:rPr>
          <w:rFonts w:ascii="Arial" w:hAnsi="Arial" w:cs="Arial"/>
          <w:sz w:val="24"/>
          <w:szCs w:val="24"/>
          <w:lang w:val="ro-RO"/>
        </w:rPr>
        <w:t xml:space="preserve"> de plată online). În același timp, 536 de milioane de lei au fost transferate</w:t>
      </w:r>
      <w:r w:rsidR="0036751F">
        <w:rPr>
          <w:rFonts w:ascii="Arial" w:hAnsi="Arial" w:cs="Arial"/>
          <w:sz w:val="24"/>
          <w:szCs w:val="24"/>
          <w:lang w:val="ro-RO"/>
        </w:rPr>
        <w:t>, prin aceleași metode,</w:t>
      </w:r>
      <w:r w:rsidR="00B2602E" w:rsidRPr="00B2602E">
        <w:rPr>
          <w:rFonts w:ascii="Arial" w:hAnsi="Arial" w:cs="Arial"/>
          <w:sz w:val="24"/>
          <w:szCs w:val="24"/>
          <w:lang w:val="ro-RO"/>
        </w:rPr>
        <w:t xml:space="preserve"> către singurul site de stat. </w:t>
      </w:r>
      <w:r w:rsidR="00B2602E" w:rsidRPr="002A1A42">
        <w:rPr>
          <w:rFonts w:ascii="Arial" w:hAnsi="Arial" w:cs="Arial"/>
          <w:i/>
          <w:iCs/>
          <w:sz w:val="24"/>
          <w:szCs w:val="24"/>
          <w:lang w:val="ro-RO"/>
        </w:rPr>
        <w:t xml:space="preserve">(a se vedea </w:t>
      </w:r>
      <w:r w:rsidR="0036751F" w:rsidRPr="002A1A42">
        <w:rPr>
          <w:rFonts w:ascii="Arial" w:hAnsi="Arial" w:cs="Arial"/>
          <w:i/>
          <w:iCs/>
          <w:sz w:val="24"/>
          <w:szCs w:val="24"/>
          <w:lang w:val="ro-RO"/>
        </w:rPr>
        <w:t>slide-ul</w:t>
      </w:r>
      <w:r w:rsidR="00B2602E" w:rsidRPr="002A1A42">
        <w:rPr>
          <w:rFonts w:ascii="Arial" w:hAnsi="Arial" w:cs="Arial"/>
          <w:i/>
          <w:iCs/>
          <w:sz w:val="24"/>
          <w:szCs w:val="24"/>
          <w:lang w:val="ro-RO"/>
        </w:rPr>
        <w:t xml:space="preserve"> de mai jos)</w:t>
      </w:r>
    </w:p>
    <w:p w14:paraId="6CD69F06" w14:textId="5BA6BA01" w:rsidR="002A1A42" w:rsidRPr="00B2602E" w:rsidRDefault="002A1A42" w:rsidP="00E64D84">
      <w:pPr>
        <w:jc w:val="both"/>
        <w:rPr>
          <w:rFonts w:ascii="Arial" w:hAnsi="Arial" w:cs="Arial"/>
          <w:sz w:val="24"/>
          <w:szCs w:val="24"/>
          <w:lang w:val="ro-RO"/>
        </w:rPr>
      </w:pPr>
    </w:p>
    <w:sectPr w:rsidR="002A1A42" w:rsidRPr="00B26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FF28" w14:textId="77777777" w:rsidR="00335144" w:rsidRDefault="00335144" w:rsidP="00D1126A">
      <w:pPr>
        <w:spacing w:after="0" w:line="240" w:lineRule="auto"/>
      </w:pPr>
      <w:r>
        <w:separator/>
      </w:r>
    </w:p>
  </w:endnote>
  <w:endnote w:type="continuationSeparator" w:id="0">
    <w:p w14:paraId="7B65B1BE" w14:textId="77777777" w:rsidR="00335144" w:rsidRDefault="00335144" w:rsidP="00D1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0595" w14:textId="77777777" w:rsidR="00335144" w:rsidRDefault="00335144" w:rsidP="00D1126A">
      <w:pPr>
        <w:spacing w:after="0" w:line="240" w:lineRule="auto"/>
      </w:pPr>
      <w:r>
        <w:separator/>
      </w:r>
    </w:p>
  </w:footnote>
  <w:footnote w:type="continuationSeparator" w:id="0">
    <w:p w14:paraId="623E2E2E" w14:textId="77777777" w:rsidR="00335144" w:rsidRDefault="00335144" w:rsidP="00D1126A">
      <w:pPr>
        <w:spacing w:after="0" w:line="240" w:lineRule="auto"/>
      </w:pPr>
      <w:r>
        <w:continuationSeparator/>
      </w:r>
    </w:p>
  </w:footnote>
  <w:footnote w:id="1">
    <w:p w14:paraId="23390F4C" w14:textId="18DA89F2" w:rsidR="00D1126A" w:rsidRDefault="00D1126A">
      <w:pPr>
        <w:pStyle w:val="a8"/>
        <w:rPr>
          <w:lang w:val="en-US"/>
        </w:rPr>
      </w:pPr>
      <w:r>
        <w:rPr>
          <w:rStyle w:val="aa"/>
        </w:rPr>
        <w:footnoteRef/>
      </w:r>
      <w:r w:rsidRPr="00D1126A">
        <w:rPr>
          <w:lang w:val="en-US"/>
        </w:rPr>
        <w:t xml:space="preserve"> </w:t>
      </w:r>
      <w:proofErr w:type="spellStart"/>
      <w:r w:rsidRPr="00D1126A">
        <w:rPr>
          <w:lang w:val="en-US"/>
        </w:rPr>
        <w:t>Aceste</w:t>
      </w:r>
      <w:proofErr w:type="spellEnd"/>
      <w:r w:rsidRPr="00D1126A">
        <w:rPr>
          <w:lang w:val="en-US"/>
        </w:rPr>
        <w:t xml:space="preserve"> </w:t>
      </w:r>
      <w:proofErr w:type="spellStart"/>
      <w:r w:rsidRPr="00D1126A">
        <w:rPr>
          <w:lang w:val="en-US"/>
        </w:rPr>
        <w:t>sume</w:t>
      </w:r>
      <w:proofErr w:type="spellEnd"/>
      <w:r w:rsidRPr="00D1126A">
        <w:rPr>
          <w:lang w:val="en-US"/>
        </w:rPr>
        <w:t xml:space="preserve"> nu </w:t>
      </w:r>
      <w:proofErr w:type="spellStart"/>
      <w:r w:rsidRPr="00D1126A">
        <w:rPr>
          <w:lang w:val="en-US"/>
        </w:rPr>
        <w:t>includ</w:t>
      </w:r>
      <w:proofErr w:type="spellEnd"/>
      <w:r w:rsidRPr="00D1126A">
        <w:rPr>
          <w:lang w:val="en-US"/>
        </w:rPr>
        <w:t xml:space="preserve"> </w:t>
      </w:r>
      <w:proofErr w:type="spellStart"/>
      <w:r w:rsidRPr="00D1126A">
        <w:rPr>
          <w:lang w:val="en-US"/>
        </w:rPr>
        <w:t>transferurile</w:t>
      </w:r>
      <w:proofErr w:type="spellEnd"/>
      <w:r w:rsidRPr="00D1126A">
        <w:rPr>
          <w:lang w:val="en-US"/>
        </w:rPr>
        <w:t xml:space="preserve"> </w:t>
      </w:r>
      <w:proofErr w:type="spellStart"/>
      <w:r w:rsidRPr="00D1126A">
        <w:rPr>
          <w:lang w:val="en-US"/>
        </w:rPr>
        <w:t>prin</w:t>
      </w:r>
      <w:proofErr w:type="spellEnd"/>
      <w:r w:rsidRPr="00D1126A">
        <w:rPr>
          <w:lang w:val="en-US"/>
        </w:rPr>
        <w:t xml:space="preserve"> </w:t>
      </w:r>
      <w:proofErr w:type="spellStart"/>
      <w:r w:rsidRPr="00D1126A">
        <w:rPr>
          <w:lang w:val="en-US"/>
        </w:rPr>
        <w:t>intermediul</w:t>
      </w:r>
      <w:proofErr w:type="spellEnd"/>
      <w:r w:rsidRPr="00D1126A">
        <w:rPr>
          <w:lang w:val="en-US"/>
        </w:rPr>
        <w:t xml:space="preserve"> </w:t>
      </w:r>
      <w:proofErr w:type="spellStart"/>
      <w:r w:rsidRPr="00D1126A">
        <w:rPr>
          <w:lang w:val="en-US"/>
        </w:rPr>
        <w:t>cardurilor</w:t>
      </w:r>
      <w:proofErr w:type="spellEnd"/>
      <w:r w:rsidRPr="00D1126A">
        <w:rPr>
          <w:lang w:val="en-US"/>
        </w:rPr>
        <w:t xml:space="preserve"> </w:t>
      </w:r>
      <w:proofErr w:type="spellStart"/>
      <w:r w:rsidRPr="00D1126A">
        <w:rPr>
          <w:lang w:val="en-US"/>
        </w:rPr>
        <w:t>bancare</w:t>
      </w:r>
      <w:proofErr w:type="spellEnd"/>
      <w:r w:rsidRPr="00D1126A">
        <w:rPr>
          <w:lang w:val="en-US"/>
        </w:rPr>
        <w:t xml:space="preserve"> </w:t>
      </w:r>
      <w:proofErr w:type="spellStart"/>
      <w:r w:rsidRPr="00D1126A">
        <w:rPr>
          <w:lang w:val="en-US"/>
        </w:rPr>
        <w:t>și</w:t>
      </w:r>
      <w:proofErr w:type="spellEnd"/>
      <w:r w:rsidRPr="00D1126A">
        <w:rPr>
          <w:lang w:val="en-US"/>
        </w:rPr>
        <w:t xml:space="preserve">, ca </w:t>
      </w:r>
      <w:proofErr w:type="spellStart"/>
      <w:r w:rsidRPr="00D1126A">
        <w:rPr>
          <w:lang w:val="en-US"/>
        </w:rPr>
        <w:t>urmare</w:t>
      </w:r>
      <w:proofErr w:type="spellEnd"/>
      <w:r w:rsidRPr="00D1126A">
        <w:rPr>
          <w:lang w:val="en-US"/>
        </w:rPr>
        <w:t xml:space="preserve">, </w:t>
      </w:r>
      <w:proofErr w:type="spellStart"/>
      <w:r w:rsidRPr="00D1126A">
        <w:rPr>
          <w:lang w:val="en-US"/>
        </w:rPr>
        <w:t>datele</w:t>
      </w:r>
      <w:proofErr w:type="spellEnd"/>
      <w:r w:rsidRPr="00D1126A">
        <w:rPr>
          <w:lang w:val="en-US"/>
        </w:rPr>
        <w:t xml:space="preserve"> finale sunt </w:t>
      </w:r>
      <w:proofErr w:type="spellStart"/>
      <w:r w:rsidRPr="00D1126A">
        <w:rPr>
          <w:lang w:val="en-US"/>
        </w:rPr>
        <w:t>considerabil</w:t>
      </w:r>
      <w:proofErr w:type="spellEnd"/>
      <w:r w:rsidRPr="00D1126A">
        <w:rPr>
          <w:lang w:val="en-US"/>
        </w:rPr>
        <w:t xml:space="preserve"> </w:t>
      </w:r>
      <w:proofErr w:type="spellStart"/>
      <w:r w:rsidRPr="00D1126A">
        <w:rPr>
          <w:lang w:val="en-US"/>
        </w:rPr>
        <w:t>mai</w:t>
      </w:r>
      <w:proofErr w:type="spellEnd"/>
      <w:r w:rsidRPr="00D1126A">
        <w:rPr>
          <w:lang w:val="en-US"/>
        </w:rPr>
        <w:t xml:space="preserve"> </w:t>
      </w:r>
      <w:proofErr w:type="spellStart"/>
      <w:r w:rsidRPr="00D1126A">
        <w:rPr>
          <w:lang w:val="en-US"/>
        </w:rPr>
        <w:t>mari</w:t>
      </w:r>
      <w:proofErr w:type="spellEnd"/>
      <w:r w:rsidRPr="00D1126A">
        <w:rPr>
          <w:lang w:val="en-US"/>
        </w:rPr>
        <w:t>.</w:t>
      </w:r>
    </w:p>
    <w:p w14:paraId="12EACBC1" w14:textId="77777777" w:rsidR="00D1126A" w:rsidRPr="00D1126A" w:rsidRDefault="00D1126A">
      <w:pPr>
        <w:pStyle w:val="a8"/>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2E"/>
    <w:rsid w:val="002A1A42"/>
    <w:rsid w:val="00335144"/>
    <w:rsid w:val="00354B02"/>
    <w:rsid w:val="0036751F"/>
    <w:rsid w:val="003D4070"/>
    <w:rsid w:val="00B2602E"/>
    <w:rsid w:val="00D1126A"/>
    <w:rsid w:val="00D11834"/>
    <w:rsid w:val="00E64D84"/>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A097"/>
  <w15:chartTrackingRefBased/>
  <w15:docId w15:val="{9020CEA4-2B03-4369-A6F6-182E7F38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A42"/>
    <w:rPr>
      <w:color w:val="0563C1" w:themeColor="hyperlink"/>
      <w:u w:val="single"/>
    </w:rPr>
  </w:style>
  <w:style w:type="character" w:styleId="a4">
    <w:name w:val="Unresolved Mention"/>
    <w:basedOn w:val="a0"/>
    <w:uiPriority w:val="99"/>
    <w:semiHidden/>
    <w:unhideWhenUsed/>
    <w:rsid w:val="002A1A42"/>
    <w:rPr>
      <w:color w:val="605E5C"/>
      <w:shd w:val="clear" w:color="auto" w:fill="E1DFDD"/>
    </w:rPr>
  </w:style>
  <w:style w:type="paragraph" w:styleId="a5">
    <w:name w:val="endnote text"/>
    <w:basedOn w:val="a"/>
    <w:link w:val="a6"/>
    <w:uiPriority w:val="99"/>
    <w:semiHidden/>
    <w:unhideWhenUsed/>
    <w:rsid w:val="00D1126A"/>
    <w:pPr>
      <w:spacing w:after="0" w:line="240" w:lineRule="auto"/>
    </w:pPr>
    <w:rPr>
      <w:sz w:val="20"/>
      <w:szCs w:val="20"/>
    </w:rPr>
  </w:style>
  <w:style w:type="character" w:customStyle="1" w:styleId="a6">
    <w:name w:val="Текст концевой сноски Знак"/>
    <w:basedOn w:val="a0"/>
    <w:link w:val="a5"/>
    <w:uiPriority w:val="99"/>
    <w:semiHidden/>
    <w:rsid w:val="00D1126A"/>
    <w:rPr>
      <w:sz w:val="20"/>
      <w:szCs w:val="20"/>
    </w:rPr>
  </w:style>
  <w:style w:type="character" w:styleId="a7">
    <w:name w:val="endnote reference"/>
    <w:basedOn w:val="a0"/>
    <w:uiPriority w:val="99"/>
    <w:semiHidden/>
    <w:unhideWhenUsed/>
    <w:rsid w:val="00D1126A"/>
    <w:rPr>
      <w:vertAlign w:val="superscript"/>
    </w:rPr>
  </w:style>
  <w:style w:type="paragraph" w:styleId="a8">
    <w:name w:val="footnote text"/>
    <w:basedOn w:val="a"/>
    <w:link w:val="a9"/>
    <w:uiPriority w:val="99"/>
    <w:semiHidden/>
    <w:unhideWhenUsed/>
    <w:rsid w:val="00D1126A"/>
    <w:pPr>
      <w:spacing w:after="0" w:line="240" w:lineRule="auto"/>
    </w:pPr>
    <w:rPr>
      <w:sz w:val="20"/>
      <w:szCs w:val="20"/>
    </w:rPr>
  </w:style>
  <w:style w:type="character" w:customStyle="1" w:styleId="a9">
    <w:name w:val="Текст сноски Знак"/>
    <w:basedOn w:val="a0"/>
    <w:link w:val="a8"/>
    <w:uiPriority w:val="99"/>
    <w:semiHidden/>
    <w:rsid w:val="00D1126A"/>
    <w:rPr>
      <w:sz w:val="20"/>
      <w:szCs w:val="20"/>
    </w:rPr>
  </w:style>
  <w:style w:type="character" w:styleId="aa">
    <w:name w:val="footnote reference"/>
    <w:basedOn w:val="a0"/>
    <w:uiPriority w:val="99"/>
    <w:semiHidden/>
    <w:unhideWhenUsed/>
    <w:rsid w:val="00D11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49a70e/contentassets/5a92fa31030142d5ae25a9e551b6e355/en-forstarkt-spelreglering-prop.-202122242.pdf" TargetMode="External"/><Relationship Id="rId13" Type="http://schemas.openxmlformats.org/officeDocument/2006/relationships/hyperlink" Target="https://legal-monitor.md/projects/piata-gri-jocuri-de-nor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monitor.md/projects/jocuri-de-noroc-%D1%81um-c%C3%A2%C8%99tig%C4%83-bani-companiile-offshor-ilega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gamingbusiness.com/gaming/online-casino/sweden-channelisation-gdp-boost/" TargetMode="External"/><Relationship Id="rId4" Type="http://schemas.openxmlformats.org/officeDocument/2006/relationships/webSettings" Target="webSettings.xml"/><Relationship Id="rId9" Type="http://schemas.openxmlformats.org/officeDocument/2006/relationships/hyperlink" Target="https://www.bos.nu/en/2022/05/19/bos-cautiously-positive-of-governmental-bil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93C7-BB07-41B5-B086-EA8A6346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2022-09-13T08:48:00Z</dcterms:created>
  <dcterms:modified xsi:type="dcterms:W3CDTF">2022-09-13T08:48:00Z</dcterms:modified>
</cp:coreProperties>
</file>