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1B87" w14:textId="53BE0F2B" w:rsidR="004511C3" w:rsidRPr="00AA0101" w:rsidRDefault="00CA15D6" w:rsidP="00CD516C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AA0101">
        <w:rPr>
          <w:rFonts w:ascii="Arial" w:hAnsi="Arial" w:cs="Arial"/>
          <w:b/>
          <w:bCs/>
          <w:sz w:val="24"/>
          <w:szCs w:val="24"/>
          <w:lang w:val="ro-RO"/>
        </w:rPr>
        <w:t xml:space="preserve">Casa de pariuri PariMatch, populară și în Moldova, acuzată că participă la finanțarea războiului din Ucraina </w:t>
      </w:r>
    </w:p>
    <w:p w14:paraId="2B33A10A" w14:textId="15A2EC9E" w:rsidR="00991A31" w:rsidRPr="00AA0101" w:rsidRDefault="00991A31" w:rsidP="00CD516C">
      <w:pPr>
        <w:jc w:val="both"/>
        <w:rPr>
          <w:rFonts w:ascii="Arial" w:hAnsi="Arial" w:cs="Arial"/>
          <w:sz w:val="24"/>
          <w:szCs w:val="24"/>
          <w:lang w:val="ro-RO"/>
        </w:rPr>
      </w:pPr>
      <w:r w:rsidRPr="00AA0101">
        <w:rPr>
          <w:rFonts w:ascii="Arial" w:hAnsi="Arial" w:cs="Arial"/>
          <w:noProof/>
          <w:sz w:val="24"/>
          <w:szCs w:val="24"/>
          <w:lang w:val="ro-RO"/>
        </w:rPr>
        <w:drawing>
          <wp:anchor distT="0" distB="0" distL="114300" distR="114300" simplePos="0" relativeHeight="251658240" behindDoc="0" locked="0" layoutInCell="1" allowOverlap="1" wp14:anchorId="204575B2" wp14:editId="201E41EA">
            <wp:simplePos x="0" y="0"/>
            <wp:positionH relativeFrom="page">
              <wp:posOffset>-260350</wp:posOffset>
            </wp:positionH>
            <wp:positionV relativeFrom="page">
              <wp:align>top</wp:align>
            </wp:positionV>
            <wp:extent cx="7862570" cy="2095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57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D3C68" w14:textId="255F7B53" w:rsidR="00CD516C" w:rsidRPr="00AA0101" w:rsidRDefault="00CD516C" w:rsidP="00CD516C">
      <w:pPr>
        <w:jc w:val="both"/>
        <w:rPr>
          <w:rFonts w:ascii="Arial" w:hAnsi="Arial" w:cs="Arial"/>
          <w:sz w:val="24"/>
          <w:szCs w:val="24"/>
          <w:lang w:val="ro-MD"/>
        </w:rPr>
      </w:pPr>
      <w:r w:rsidRPr="00AA0101">
        <w:rPr>
          <w:rFonts w:ascii="Arial" w:hAnsi="Arial" w:cs="Arial"/>
          <w:sz w:val="24"/>
          <w:szCs w:val="24"/>
          <w:lang w:val="ro-MD"/>
        </w:rPr>
        <w:t xml:space="preserve">Casa de pariuri PariMatch din Ucraina, care se numără în TOP 5 ale preferințelor jucătorilor moldoveni, este activ criticată de </w:t>
      </w:r>
      <w:hyperlink r:id="rId5" w:history="1">
        <w:r w:rsidRPr="00AA0101">
          <w:rPr>
            <w:rStyle w:val="a3"/>
            <w:rFonts w:ascii="Arial" w:hAnsi="Arial" w:cs="Arial"/>
            <w:sz w:val="24"/>
            <w:szCs w:val="24"/>
            <w:lang w:val="ro-MD"/>
          </w:rPr>
          <w:t>presa</w:t>
        </w:r>
      </w:hyperlink>
      <w:r w:rsidRPr="00AA0101">
        <w:rPr>
          <w:rFonts w:ascii="Arial" w:hAnsi="Arial" w:cs="Arial"/>
          <w:sz w:val="24"/>
          <w:szCs w:val="24"/>
          <w:lang w:val="ro-MD"/>
        </w:rPr>
        <w:t xml:space="preserve"> din țara vecină. Compania este acuzată că își continuă activitatea în Rusia și Belarus și, în acest mod, contribuie la finanțarea războiului. </w:t>
      </w:r>
    </w:p>
    <w:p w14:paraId="3C4E6AF2" w14:textId="4D1C93CC" w:rsidR="00B36550" w:rsidRPr="00AA0101" w:rsidRDefault="00B36550" w:rsidP="00CD516C">
      <w:pPr>
        <w:jc w:val="both"/>
        <w:rPr>
          <w:rFonts w:ascii="Arial" w:hAnsi="Arial" w:cs="Arial"/>
          <w:sz w:val="24"/>
          <w:szCs w:val="24"/>
          <w:lang w:val="ro-MD"/>
        </w:rPr>
      </w:pPr>
      <w:bookmarkStart w:id="0" w:name="_Hlk104293377"/>
      <w:r w:rsidRPr="00AA0101">
        <w:rPr>
          <w:rFonts w:ascii="Arial" w:hAnsi="Arial" w:cs="Arial"/>
          <w:sz w:val="24"/>
          <w:szCs w:val="24"/>
          <w:lang w:val="ro-MD"/>
        </w:rPr>
        <w:t xml:space="preserve">O investigație publicată de </w:t>
      </w:r>
      <w:hyperlink r:id="rId6" w:history="1">
        <w:r w:rsidRPr="00AA0101">
          <w:rPr>
            <w:rStyle w:val="a3"/>
            <w:rFonts w:ascii="Arial" w:hAnsi="Arial" w:cs="Arial"/>
            <w:sz w:val="24"/>
            <w:szCs w:val="24"/>
            <w:lang w:val="ro-MD"/>
          </w:rPr>
          <w:t>podrobnosti.ua</w:t>
        </w:r>
      </w:hyperlink>
      <w:r w:rsidRPr="00AA0101">
        <w:rPr>
          <w:rFonts w:ascii="Arial" w:hAnsi="Arial" w:cs="Arial"/>
          <w:sz w:val="24"/>
          <w:szCs w:val="24"/>
          <w:lang w:val="ro-MD"/>
        </w:rPr>
        <w:t xml:space="preserve"> arată că PariMatch, deși a anunțat că se retrage din Rusia și Belarus, este foarte activă în aceste țări. Autorii materialului au prezentat probe </w:t>
      </w:r>
      <w:hyperlink r:id="rId7" w:history="1">
        <w:r w:rsidRPr="00AA0101">
          <w:rPr>
            <w:rStyle w:val="a3"/>
            <w:rFonts w:ascii="Arial" w:hAnsi="Arial" w:cs="Arial"/>
            <w:sz w:val="24"/>
            <w:szCs w:val="24"/>
            <w:lang w:val="ro-MD"/>
          </w:rPr>
          <w:t>video</w:t>
        </w:r>
      </w:hyperlink>
      <w:r w:rsidRPr="00AA0101">
        <w:rPr>
          <w:rFonts w:ascii="Arial" w:hAnsi="Arial" w:cs="Arial"/>
          <w:sz w:val="24"/>
          <w:szCs w:val="24"/>
          <w:lang w:val="ro-MD"/>
        </w:rPr>
        <w:t xml:space="preserve"> din Minsk, unde bannerele PariMatch sunt amplasate în cele mai scumpe locații pentru publicitate din capitala belarusă.</w:t>
      </w:r>
      <w:r w:rsidR="00A519D2" w:rsidRPr="00AA0101">
        <w:rPr>
          <w:rFonts w:ascii="Arial" w:hAnsi="Arial" w:cs="Arial"/>
          <w:sz w:val="24"/>
          <w:szCs w:val="24"/>
          <w:lang w:val="ro-MD"/>
        </w:rPr>
        <w:t xml:space="preserve"> Mai mult, casa de pariuri sponsorizează și unele cluburi sportive din Belarus.</w:t>
      </w:r>
      <w:r w:rsidRPr="00AA0101">
        <w:rPr>
          <w:rFonts w:ascii="Arial" w:hAnsi="Arial" w:cs="Arial"/>
          <w:sz w:val="24"/>
          <w:szCs w:val="24"/>
          <w:lang w:val="ro-MD"/>
        </w:rPr>
        <w:t xml:space="preserve"> Iar în Rusia, potrivit lor, compania și-a retras doar pe vorbe franciza și activează sub identitate nouă. </w:t>
      </w:r>
    </w:p>
    <w:bookmarkEnd w:id="0"/>
    <w:p w14:paraId="5C23E78A" w14:textId="5D635F7A" w:rsidR="00B36550" w:rsidRPr="00AA0101" w:rsidRDefault="00B36550" w:rsidP="00CD516C">
      <w:pPr>
        <w:jc w:val="both"/>
        <w:rPr>
          <w:rFonts w:ascii="Arial" w:hAnsi="Arial" w:cs="Arial"/>
          <w:sz w:val="24"/>
          <w:szCs w:val="24"/>
          <w:lang w:val="ro-MD"/>
        </w:rPr>
      </w:pPr>
      <w:r w:rsidRPr="00AA0101">
        <w:rPr>
          <w:rFonts w:ascii="Arial" w:hAnsi="Arial" w:cs="Arial"/>
          <w:b/>
          <w:bCs/>
          <w:i/>
          <w:iCs/>
          <w:sz w:val="24"/>
          <w:szCs w:val="24"/>
          <w:lang w:val="ro-MD"/>
        </w:rPr>
        <w:t>”De fapt, compania doar și-a schimbat denumirea și continuă să câștige bani, să plătească impozite din care armata ocupanților produce rachete pentru uciderea ucrainenilor”</w:t>
      </w:r>
      <w:r w:rsidRPr="00AA0101">
        <w:rPr>
          <w:rFonts w:ascii="Arial" w:hAnsi="Arial" w:cs="Arial"/>
          <w:sz w:val="24"/>
          <w:szCs w:val="24"/>
          <w:lang w:val="ro-MD"/>
        </w:rPr>
        <w:t xml:space="preserve">, </w:t>
      </w:r>
      <w:bookmarkStart w:id="1" w:name="_Hlk104293538"/>
      <w:r w:rsidRPr="00AA0101">
        <w:rPr>
          <w:rFonts w:ascii="Arial" w:hAnsi="Arial" w:cs="Arial"/>
          <w:sz w:val="24"/>
          <w:szCs w:val="24"/>
          <w:lang w:val="ro-MD"/>
        </w:rPr>
        <w:t xml:space="preserve">menționează potalul </w:t>
      </w:r>
      <w:hyperlink r:id="rId8" w:history="1">
        <w:r w:rsidRPr="00AA0101">
          <w:rPr>
            <w:rStyle w:val="a3"/>
            <w:rFonts w:ascii="Arial" w:hAnsi="Arial" w:cs="Arial"/>
            <w:sz w:val="24"/>
            <w:szCs w:val="24"/>
            <w:lang w:val="ro-MD"/>
          </w:rPr>
          <w:t>unn.com.ua</w:t>
        </w:r>
      </w:hyperlink>
      <w:r w:rsidRPr="00AA0101">
        <w:rPr>
          <w:rFonts w:ascii="Arial" w:hAnsi="Arial" w:cs="Arial"/>
          <w:sz w:val="24"/>
          <w:szCs w:val="24"/>
          <w:lang w:val="ro-MD"/>
        </w:rPr>
        <w:t xml:space="preserve">, care a </w:t>
      </w:r>
      <w:r w:rsidR="00A519D2" w:rsidRPr="00AA0101">
        <w:rPr>
          <w:rFonts w:ascii="Arial" w:hAnsi="Arial" w:cs="Arial"/>
          <w:sz w:val="24"/>
          <w:szCs w:val="24"/>
          <w:lang w:val="ro-MD"/>
        </w:rPr>
        <w:t>dezvoltat subiectul</w:t>
      </w:r>
      <w:bookmarkEnd w:id="1"/>
      <w:r w:rsidRPr="00AA0101">
        <w:rPr>
          <w:rFonts w:ascii="Arial" w:hAnsi="Arial" w:cs="Arial"/>
          <w:sz w:val="24"/>
          <w:szCs w:val="24"/>
          <w:lang w:val="ro-MD"/>
        </w:rPr>
        <w:t xml:space="preserve">. </w:t>
      </w:r>
    </w:p>
    <w:p w14:paraId="0EE08F44" w14:textId="4171E26E" w:rsidR="00CD516C" w:rsidRPr="00AA0101" w:rsidRDefault="00A34D1B" w:rsidP="00CD516C">
      <w:pPr>
        <w:jc w:val="both"/>
        <w:rPr>
          <w:rFonts w:ascii="Arial" w:hAnsi="Arial" w:cs="Arial"/>
          <w:b/>
          <w:bCs/>
          <w:i/>
          <w:iCs/>
          <w:sz w:val="24"/>
          <w:szCs w:val="24"/>
          <w:lang w:val="ro-RO"/>
        </w:rPr>
      </w:pPr>
      <w:r w:rsidRPr="00AA0101">
        <w:rPr>
          <w:rFonts w:ascii="Arial" w:hAnsi="Arial" w:cs="Arial"/>
          <w:sz w:val="24"/>
          <w:szCs w:val="24"/>
          <w:lang w:val="ro-RO"/>
        </w:rPr>
        <w:t xml:space="preserve">Autorii investigației au făcut apel către autorități, inclusiv cele de reglementare a pieței jocurilor de noroc, să </w:t>
      </w:r>
      <w:r w:rsidRPr="00AA0101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”ia atitudine față de faptele de activitate comercială în țara agresorului. Iar pe ucraineni și-au chemat să boicoteze companiile care încearcă să stea comod pe două (iar uneori și trei) scaune”.</w:t>
      </w:r>
    </w:p>
    <w:p w14:paraId="2E4FC07F" w14:textId="0C843ED3" w:rsidR="00FF2E56" w:rsidRPr="00AA0101" w:rsidRDefault="00FF2E56" w:rsidP="00FF2E56">
      <w:pPr>
        <w:jc w:val="both"/>
        <w:rPr>
          <w:rFonts w:ascii="Arial" w:hAnsi="Arial" w:cs="Arial"/>
          <w:sz w:val="24"/>
          <w:szCs w:val="24"/>
          <w:lang w:val="ro-RO"/>
        </w:rPr>
      </w:pPr>
      <w:r w:rsidRPr="00AA0101">
        <w:rPr>
          <w:rFonts w:ascii="Arial" w:hAnsi="Arial" w:cs="Arial"/>
          <w:sz w:val="24"/>
          <w:szCs w:val="24"/>
          <w:lang w:val="ro-RO"/>
        </w:rPr>
        <w:t xml:space="preserve">PariMatch activează în Rusia din 1998. Potrivit portalului național anticorupție din Ucraina, </w:t>
      </w:r>
      <w:hyperlink r:id="rId9" w:history="1">
        <w:r w:rsidRPr="00AA0101">
          <w:rPr>
            <w:rStyle w:val="a3"/>
            <w:rFonts w:ascii="Arial" w:hAnsi="Arial" w:cs="Arial"/>
            <w:sz w:val="24"/>
            <w:szCs w:val="24"/>
            <w:lang w:val="ro-RO"/>
          </w:rPr>
          <w:t xml:space="preserve"> Antikor.com.ua</w:t>
        </w:r>
      </w:hyperlink>
      <w:r w:rsidRPr="00AA0101">
        <w:rPr>
          <w:rFonts w:ascii="Arial" w:hAnsi="Arial" w:cs="Arial"/>
          <w:sz w:val="24"/>
          <w:szCs w:val="24"/>
          <w:lang w:val="ro-RO"/>
        </w:rPr>
        <w:t xml:space="preserve">, această casă de pariuri figurează </w:t>
      </w:r>
      <w:r w:rsidRPr="001575E1">
        <w:rPr>
          <w:rFonts w:ascii="Arial" w:hAnsi="Arial" w:cs="Arial"/>
          <w:sz w:val="24"/>
          <w:szCs w:val="24"/>
          <w:u w:val="single"/>
          <w:lang w:val="ro-RO"/>
        </w:rPr>
        <w:t>în 8 liste de sancțiuni, inclusiv ale SUA, Marii Britanii și ale țărilor UE.</w:t>
      </w:r>
      <w:r w:rsidRPr="00AA0101">
        <w:rPr>
          <w:rFonts w:ascii="Arial" w:hAnsi="Arial" w:cs="Arial"/>
          <w:sz w:val="24"/>
          <w:szCs w:val="24"/>
          <w:lang w:val="ro-RO"/>
        </w:rPr>
        <w:t xml:space="preserve"> Conform situației de la sfârșitul anului 2020, compania era implicată </w:t>
      </w:r>
      <w:r w:rsidRPr="001575E1">
        <w:rPr>
          <w:rFonts w:ascii="Arial" w:hAnsi="Arial" w:cs="Arial"/>
          <w:sz w:val="24"/>
          <w:szCs w:val="24"/>
          <w:u w:val="single"/>
          <w:lang w:val="ro-RO"/>
        </w:rPr>
        <w:t>în aproape 100 de procese de judecată, majoritate penale</w:t>
      </w:r>
      <w:r w:rsidRPr="00AA0101">
        <w:rPr>
          <w:rFonts w:ascii="Arial" w:hAnsi="Arial" w:cs="Arial"/>
          <w:sz w:val="24"/>
          <w:szCs w:val="24"/>
          <w:lang w:val="ro-RO"/>
        </w:rPr>
        <w:t>. Jurnaliștii de investigație au mai constata</w:t>
      </w:r>
      <w:r w:rsidR="00054C5E" w:rsidRPr="00AA0101">
        <w:rPr>
          <w:rFonts w:ascii="Arial" w:hAnsi="Arial" w:cs="Arial"/>
          <w:sz w:val="24"/>
          <w:szCs w:val="24"/>
          <w:lang w:val="ro-RO"/>
        </w:rPr>
        <w:t>t</w:t>
      </w:r>
      <w:r w:rsidRPr="00AA0101">
        <w:rPr>
          <w:rFonts w:ascii="Arial" w:hAnsi="Arial" w:cs="Arial"/>
          <w:sz w:val="24"/>
          <w:szCs w:val="24"/>
          <w:lang w:val="ro-RO"/>
        </w:rPr>
        <w:t xml:space="preserve"> că </w:t>
      </w:r>
      <w:r w:rsidRPr="001575E1">
        <w:rPr>
          <w:rFonts w:ascii="Arial" w:hAnsi="Arial" w:cs="Arial"/>
          <w:sz w:val="24"/>
          <w:szCs w:val="24"/>
          <w:u w:val="single"/>
          <w:lang w:val="ro-RO"/>
        </w:rPr>
        <w:t>PariMatch a fost implicată în dezvoltarea activă a jocurilor de noroc în regiunile Luhansk și Donetsk</w:t>
      </w:r>
      <w:r w:rsidRPr="00AA0101">
        <w:rPr>
          <w:rFonts w:ascii="Arial" w:hAnsi="Arial" w:cs="Arial"/>
          <w:sz w:val="24"/>
          <w:szCs w:val="24"/>
          <w:lang w:val="ro-RO"/>
        </w:rPr>
        <w:t xml:space="preserve">, din 2014 necontrolate de autoritățile de la Kiev. În 2017, Procuratura Generală a Ucrainei a inițiat o cauză penală pentru spălare de bani. Potrivit anchetei, anual, în jur de </w:t>
      </w:r>
      <w:r w:rsidRPr="001575E1">
        <w:rPr>
          <w:rFonts w:ascii="Arial" w:hAnsi="Arial" w:cs="Arial"/>
          <w:b/>
          <w:bCs/>
          <w:sz w:val="24"/>
          <w:szCs w:val="24"/>
          <w:lang w:val="ro-RO"/>
        </w:rPr>
        <w:t>350 de milioane de dolari</w:t>
      </w:r>
      <w:r w:rsidRPr="00AA0101">
        <w:rPr>
          <w:rFonts w:ascii="Arial" w:hAnsi="Arial" w:cs="Arial"/>
          <w:sz w:val="24"/>
          <w:szCs w:val="24"/>
          <w:lang w:val="ro-RO"/>
        </w:rPr>
        <w:t xml:space="preserve"> ajungeau ilegal în Rusia, prin această companie. Banii erau spălați prin ”Alfa-Bank” din Rusia.  </w:t>
      </w:r>
    </w:p>
    <w:p w14:paraId="058A1FD1" w14:textId="10847219" w:rsidR="00FF2E56" w:rsidRPr="00AA0101" w:rsidRDefault="008A4BE4" w:rsidP="008A4BE4">
      <w:pPr>
        <w:jc w:val="both"/>
        <w:rPr>
          <w:rFonts w:ascii="Arial" w:hAnsi="Arial" w:cs="Arial"/>
          <w:sz w:val="24"/>
          <w:szCs w:val="24"/>
          <w:lang w:val="ro-RO"/>
        </w:rPr>
      </w:pPr>
      <w:r w:rsidRPr="00AA0101">
        <w:rPr>
          <w:rFonts w:ascii="Arial" w:hAnsi="Arial" w:cs="Arial"/>
          <w:sz w:val="24"/>
          <w:szCs w:val="24"/>
          <w:lang w:val="ro-RO"/>
        </w:rPr>
        <w:t xml:space="preserve">În 2020, în baza </w:t>
      </w:r>
      <w:hyperlink r:id="rId10" w:history="1">
        <w:r w:rsidRPr="00AA0101">
          <w:rPr>
            <w:rStyle w:val="a3"/>
            <w:rFonts w:ascii="Arial" w:hAnsi="Arial" w:cs="Arial"/>
            <w:sz w:val="24"/>
            <w:szCs w:val="24"/>
            <w:lang w:val="ro-RO"/>
          </w:rPr>
          <w:t>deciziei</w:t>
        </w:r>
      </w:hyperlink>
      <w:r w:rsidRPr="00AA0101">
        <w:rPr>
          <w:rFonts w:ascii="Arial" w:hAnsi="Arial" w:cs="Arial"/>
          <w:sz w:val="24"/>
          <w:szCs w:val="24"/>
          <w:lang w:val="ro-RO"/>
        </w:rPr>
        <w:t xml:space="preserve"> unei instanțe din Kiev, a fost blocat accesul la platformele mai multor companii de jocuri de noroc, inclusiv PariMatch și 1xBet. Hotărârea a fost luată în cadrul anchetării dosarului de spălare de bani, falsificare de acte și organizarea jocurilor de noroc ilegale.</w:t>
      </w:r>
    </w:p>
    <w:p w14:paraId="149054AB" w14:textId="486ACCF7" w:rsidR="00A34D1B" w:rsidRPr="001575E1" w:rsidRDefault="00A34D1B" w:rsidP="00A34D1B">
      <w:pPr>
        <w:jc w:val="both"/>
        <w:rPr>
          <w:rFonts w:ascii="Arial" w:hAnsi="Arial" w:cs="Arial"/>
          <w:sz w:val="24"/>
          <w:szCs w:val="24"/>
          <w:u w:val="single"/>
          <w:lang w:val="ro-RO"/>
        </w:rPr>
      </w:pPr>
      <w:r w:rsidRPr="00AA0101">
        <w:rPr>
          <w:rFonts w:ascii="Arial" w:hAnsi="Arial" w:cs="Arial"/>
          <w:sz w:val="24"/>
          <w:szCs w:val="24"/>
          <w:lang w:val="ro-RO"/>
        </w:rPr>
        <w:t xml:space="preserve">Potrivit datelor portalului </w:t>
      </w:r>
      <w:hyperlink r:id="rId11" w:history="1">
        <w:r w:rsidRPr="00AA0101">
          <w:rPr>
            <w:rStyle w:val="a3"/>
            <w:rFonts w:ascii="Arial" w:hAnsi="Arial" w:cs="Arial"/>
            <w:sz w:val="24"/>
            <w:szCs w:val="24"/>
            <w:lang w:val="ro-RO"/>
          </w:rPr>
          <w:t>Top100Bookmakers</w:t>
        </w:r>
      </w:hyperlink>
      <w:r w:rsidRPr="00AA0101"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Pr="001575E1">
        <w:rPr>
          <w:rFonts w:ascii="Arial" w:hAnsi="Arial" w:cs="Arial"/>
          <w:b/>
          <w:bCs/>
          <w:sz w:val="24"/>
          <w:szCs w:val="24"/>
          <w:lang w:val="ro-RO"/>
        </w:rPr>
        <w:t>PariMatch</w:t>
      </w:r>
      <w:proofErr w:type="spellEnd"/>
      <w:r w:rsidR="00E477EB" w:rsidRPr="001575E1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1575E1">
        <w:rPr>
          <w:rFonts w:ascii="Arial" w:hAnsi="Arial" w:cs="Arial"/>
          <w:b/>
          <w:bCs/>
          <w:sz w:val="24"/>
          <w:szCs w:val="24"/>
          <w:lang w:val="ro-RO"/>
        </w:rPr>
        <w:t>intră în TOP 5 al celor mai populare case de pariuri printre jucătorii din Moldova</w:t>
      </w:r>
      <w:r w:rsidRPr="00AA0101">
        <w:rPr>
          <w:rFonts w:ascii="Arial" w:hAnsi="Arial" w:cs="Arial"/>
          <w:sz w:val="24"/>
          <w:szCs w:val="24"/>
          <w:lang w:val="ro-RO"/>
        </w:rPr>
        <w:t xml:space="preserve">. </w:t>
      </w:r>
      <w:r w:rsidRPr="001575E1">
        <w:rPr>
          <w:rFonts w:ascii="Arial" w:hAnsi="Arial" w:cs="Arial"/>
          <w:sz w:val="24"/>
          <w:szCs w:val="24"/>
          <w:u w:val="single"/>
          <w:lang w:val="ro-RO"/>
        </w:rPr>
        <w:t>Este de menționat că ace</w:t>
      </w:r>
      <w:r w:rsidR="00177DB7" w:rsidRPr="001575E1">
        <w:rPr>
          <w:rFonts w:ascii="Arial" w:hAnsi="Arial" w:cs="Arial"/>
          <w:sz w:val="24"/>
          <w:szCs w:val="24"/>
          <w:u w:val="single"/>
          <w:lang w:val="ro-RO"/>
        </w:rPr>
        <w:t>a</w:t>
      </w:r>
      <w:r w:rsidRPr="001575E1">
        <w:rPr>
          <w:rFonts w:ascii="Arial" w:hAnsi="Arial" w:cs="Arial"/>
          <w:sz w:val="24"/>
          <w:szCs w:val="24"/>
          <w:u w:val="single"/>
          <w:lang w:val="ro-RO"/>
        </w:rPr>
        <w:t>sta nu dețin</w:t>
      </w:r>
      <w:r w:rsidR="00177DB7" w:rsidRPr="001575E1">
        <w:rPr>
          <w:rFonts w:ascii="Arial" w:hAnsi="Arial" w:cs="Arial"/>
          <w:sz w:val="24"/>
          <w:szCs w:val="24"/>
          <w:u w:val="single"/>
          <w:lang w:val="ro-RO"/>
        </w:rPr>
        <w:t>e</w:t>
      </w:r>
      <w:r w:rsidRPr="001575E1">
        <w:rPr>
          <w:rFonts w:ascii="Arial" w:hAnsi="Arial" w:cs="Arial"/>
          <w:sz w:val="24"/>
          <w:szCs w:val="24"/>
          <w:u w:val="single"/>
          <w:lang w:val="ro-RO"/>
        </w:rPr>
        <w:t xml:space="preserve"> autorizație de funcționare în țara noastră, iar activitatea </w:t>
      </w:r>
      <w:r w:rsidR="00177DB7" w:rsidRPr="001575E1">
        <w:rPr>
          <w:rFonts w:ascii="Arial" w:hAnsi="Arial" w:cs="Arial"/>
          <w:sz w:val="24"/>
          <w:szCs w:val="24"/>
          <w:u w:val="single"/>
          <w:lang w:val="ro-RO"/>
        </w:rPr>
        <w:t>sa</w:t>
      </w:r>
      <w:r w:rsidRPr="001575E1">
        <w:rPr>
          <w:rFonts w:ascii="Arial" w:hAnsi="Arial" w:cs="Arial"/>
          <w:sz w:val="24"/>
          <w:szCs w:val="24"/>
          <w:u w:val="single"/>
          <w:lang w:val="ro-RO"/>
        </w:rPr>
        <w:t xml:space="preserve"> este ilegală.</w:t>
      </w:r>
      <w:r w:rsidR="00796C8D" w:rsidRPr="00AA0101">
        <w:rPr>
          <w:rFonts w:ascii="Arial" w:hAnsi="Arial" w:cs="Arial"/>
          <w:sz w:val="24"/>
          <w:szCs w:val="24"/>
          <w:lang w:val="ro-RO"/>
        </w:rPr>
        <w:t xml:space="preserve"> O </w:t>
      </w:r>
      <w:r w:rsidR="00796C8D" w:rsidRPr="00AA0101">
        <w:rPr>
          <w:rFonts w:ascii="Arial" w:hAnsi="Arial" w:cs="Arial"/>
          <w:sz w:val="24"/>
          <w:szCs w:val="24"/>
          <w:lang w:val="ro-RO"/>
        </w:rPr>
        <w:lastRenderedPageBreak/>
        <w:t>analiză făcută de Legal Business Monitor arată că</w:t>
      </w:r>
      <w:r w:rsidR="00796C8D" w:rsidRPr="001575E1">
        <w:rPr>
          <w:rFonts w:ascii="Arial" w:hAnsi="Arial" w:cs="Arial"/>
          <w:sz w:val="24"/>
          <w:szCs w:val="24"/>
          <w:lang w:val="ro-RO"/>
        </w:rPr>
        <w:t xml:space="preserve">, </w:t>
      </w:r>
      <w:r w:rsidR="00796C8D" w:rsidRPr="001575E1">
        <w:rPr>
          <w:rFonts w:ascii="Arial" w:hAnsi="Arial" w:cs="Arial"/>
          <w:sz w:val="24"/>
          <w:szCs w:val="24"/>
          <w:u w:val="single"/>
          <w:lang w:val="ro-RO"/>
        </w:rPr>
        <w:t>de la începutul anului 2022, numărul jucătorilor moldoveni pe site-uri ilegale a crescu</w:t>
      </w:r>
      <w:r w:rsidR="00054C5E" w:rsidRPr="001575E1">
        <w:rPr>
          <w:rFonts w:ascii="Arial" w:hAnsi="Arial" w:cs="Arial"/>
          <w:sz w:val="24"/>
          <w:szCs w:val="24"/>
          <w:u w:val="single"/>
          <w:lang w:val="ro-RO"/>
        </w:rPr>
        <w:t>t</w:t>
      </w:r>
      <w:r w:rsidR="00796C8D" w:rsidRPr="001575E1">
        <w:rPr>
          <w:rFonts w:ascii="Arial" w:hAnsi="Arial" w:cs="Arial"/>
          <w:sz w:val="24"/>
          <w:szCs w:val="24"/>
          <w:u w:val="single"/>
          <w:lang w:val="ro-RO"/>
        </w:rPr>
        <w:t xml:space="preserve"> peste 60%. </w:t>
      </w:r>
    </w:p>
    <w:p w14:paraId="4C0ABF50" w14:textId="13427424" w:rsidR="00F0492B" w:rsidRPr="00AA0101" w:rsidRDefault="00A56011" w:rsidP="00F0492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AA0101">
        <w:rPr>
          <w:rFonts w:ascii="Arial" w:hAnsi="Arial" w:cs="Arial"/>
          <w:sz w:val="24"/>
          <w:szCs w:val="24"/>
          <w:lang w:val="ro-RO"/>
        </w:rPr>
        <w:t xml:space="preserve">Din </w:t>
      </w:r>
      <w:hyperlink r:id="rId12" w:history="1">
        <w:r w:rsidRPr="001575E1">
          <w:rPr>
            <w:rStyle w:val="a3"/>
            <w:rFonts w:ascii="Arial" w:hAnsi="Arial" w:cs="Arial"/>
            <w:sz w:val="24"/>
            <w:szCs w:val="24"/>
            <w:lang w:val="ro-RO"/>
          </w:rPr>
          <w:t>informațiile</w:t>
        </w:r>
      </w:hyperlink>
      <w:r w:rsidRPr="00AA0101">
        <w:rPr>
          <w:rFonts w:ascii="Arial" w:hAnsi="Arial" w:cs="Arial"/>
          <w:sz w:val="24"/>
          <w:szCs w:val="24"/>
          <w:lang w:val="ro-RO"/>
        </w:rPr>
        <w:t xml:space="preserve"> prezentate de Banca Națională a Moldovei rezultă că volumul banilor alocați de moldoveni pentru jocuri, prin servicii de plată, </w:t>
      </w:r>
      <w:r w:rsidRPr="001575E1">
        <w:rPr>
          <w:rFonts w:ascii="Arial" w:hAnsi="Arial" w:cs="Arial"/>
          <w:sz w:val="24"/>
          <w:szCs w:val="24"/>
          <w:u w:val="single"/>
          <w:lang w:val="ro-RO"/>
        </w:rPr>
        <w:t>a depășit 520 de milioane de lei în 2020</w:t>
      </w:r>
      <w:r w:rsidRPr="00AA0101">
        <w:rPr>
          <w:rFonts w:ascii="Arial" w:hAnsi="Arial" w:cs="Arial"/>
          <w:sz w:val="24"/>
          <w:szCs w:val="24"/>
          <w:lang w:val="ro-RO"/>
        </w:rPr>
        <w:t xml:space="preserve">. Din această sumă, </w:t>
      </w:r>
      <w:r w:rsidRPr="001575E1">
        <w:rPr>
          <w:rFonts w:ascii="Arial" w:hAnsi="Arial" w:cs="Arial"/>
          <w:sz w:val="24"/>
          <w:szCs w:val="24"/>
          <w:u w:val="single"/>
          <w:lang w:val="ro-RO"/>
        </w:rPr>
        <w:t>doar 8,7 milioane de lei</w:t>
      </w:r>
      <w:r w:rsidRPr="00AA0101">
        <w:rPr>
          <w:rFonts w:ascii="Arial" w:hAnsi="Arial" w:cs="Arial"/>
          <w:sz w:val="24"/>
          <w:szCs w:val="24"/>
          <w:lang w:val="ro-RO"/>
        </w:rPr>
        <w:t xml:space="preserve"> au ajuns pe portalul </w:t>
      </w:r>
      <w:hyperlink r:id="rId13" w:history="1">
        <w:r w:rsidRPr="001575E1">
          <w:rPr>
            <w:rStyle w:val="a3"/>
            <w:rFonts w:ascii="Arial" w:hAnsi="Arial" w:cs="Arial"/>
            <w:sz w:val="24"/>
            <w:szCs w:val="24"/>
            <w:lang w:val="ro-RO"/>
          </w:rPr>
          <w:t>7777.md</w:t>
        </w:r>
      </w:hyperlink>
      <w:r w:rsidRPr="00AA0101">
        <w:rPr>
          <w:rFonts w:ascii="Arial" w:hAnsi="Arial" w:cs="Arial"/>
          <w:sz w:val="24"/>
          <w:szCs w:val="24"/>
          <w:lang w:val="ro-RO"/>
        </w:rPr>
        <w:t xml:space="preserve">, </w:t>
      </w:r>
      <w:r w:rsidR="005B00EF" w:rsidRPr="00AA0101">
        <w:rPr>
          <w:rFonts w:ascii="Arial" w:hAnsi="Arial" w:cs="Arial"/>
          <w:sz w:val="24"/>
          <w:szCs w:val="24"/>
          <w:lang w:val="ro-RO"/>
        </w:rPr>
        <w:t xml:space="preserve">singurul portal autorizat din domeniul loteriilor și pariurilor sportive din Moldova. </w:t>
      </w:r>
      <w:r w:rsidR="00F0492B" w:rsidRPr="001575E1">
        <w:rPr>
          <w:rFonts w:ascii="Arial" w:hAnsi="Arial" w:cs="Arial"/>
          <w:b/>
          <w:bCs/>
          <w:sz w:val="24"/>
          <w:szCs w:val="24"/>
          <w:lang w:val="ro-RO"/>
        </w:rPr>
        <w:t xml:space="preserve">Situația s-a schimbat în anul următorul, când în Moldova a început blocarea, din martie 2021, a accesului la site-uri neautorizate de jocuri de noroc. În paralel și operatorii de plăți au restricționat </w:t>
      </w:r>
      <w:r w:rsidR="00045AD6" w:rsidRPr="001575E1">
        <w:rPr>
          <w:rFonts w:ascii="Arial" w:hAnsi="Arial" w:cs="Arial"/>
          <w:b/>
          <w:bCs/>
          <w:sz w:val="24"/>
          <w:szCs w:val="24"/>
          <w:lang w:val="ro-RO"/>
        </w:rPr>
        <w:t>transferurile</w:t>
      </w:r>
      <w:r w:rsidR="00F0492B" w:rsidRPr="001575E1">
        <w:rPr>
          <w:rFonts w:ascii="Arial" w:hAnsi="Arial" w:cs="Arial"/>
          <w:b/>
          <w:bCs/>
          <w:sz w:val="24"/>
          <w:szCs w:val="24"/>
          <w:lang w:val="ro-RO"/>
        </w:rPr>
        <w:t xml:space="preserve"> pentru acestea. </w:t>
      </w:r>
      <w:r w:rsidR="00F0492B" w:rsidRPr="00AA0101">
        <w:rPr>
          <w:rFonts w:ascii="Arial" w:hAnsi="Arial" w:cs="Arial"/>
          <w:sz w:val="24"/>
          <w:szCs w:val="24"/>
          <w:lang w:val="ro-RO"/>
        </w:rPr>
        <w:t xml:space="preserve">Rezultatul acestor măsuri este </w:t>
      </w:r>
      <w:r w:rsidR="00F0492B" w:rsidRPr="00AA0101">
        <w:rPr>
          <w:rFonts w:ascii="Arial" w:hAnsi="Arial" w:cs="Arial"/>
          <w:sz w:val="24"/>
          <w:szCs w:val="24"/>
          <w:u w:val="single"/>
          <w:lang w:val="ro-RO"/>
        </w:rPr>
        <w:t>reducerea până la 155,5 de milioane de lei</w:t>
      </w:r>
      <w:r w:rsidR="00F0492B" w:rsidRPr="00AA0101">
        <w:rPr>
          <w:rFonts w:ascii="Arial" w:hAnsi="Arial" w:cs="Arial"/>
          <w:sz w:val="24"/>
          <w:szCs w:val="24"/>
          <w:lang w:val="ro-RO"/>
        </w:rPr>
        <w:t xml:space="preserve"> a sumelor direcționate spre organizatori de loterii online și pariuri sportive ilegali. </w:t>
      </w:r>
    </w:p>
    <w:p w14:paraId="3D6FA9F4" w14:textId="03E6C578" w:rsidR="00991A31" w:rsidRPr="00CD516C" w:rsidRDefault="00991A31" w:rsidP="00923ABC">
      <w:pPr>
        <w:jc w:val="both"/>
        <w:rPr>
          <w:rFonts w:ascii="Arial" w:hAnsi="Arial" w:cs="Arial"/>
          <w:sz w:val="24"/>
          <w:szCs w:val="24"/>
          <w:lang w:val="ro-RO"/>
        </w:rPr>
      </w:pPr>
      <w:r w:rsidRPr="00AA0101">
        <w:rPr>
          <w:rFonts w:ascii="Arial" w:hAnsi="Arial" w:cs="Arial"/>
          <w:i/>
          <w:iCs/>
          <w:sz w:val="24"/>
          <w:szCs w:val="24"/>
          <w:lang w:val="ro-RO"/>
        </w:rPr>
        <w:t xml:space="preserve">Legal Business Monitor </w:t>
      </w:r>
      <w:r w:rsidR="00377A4B" w:rsidRPr="00AA0101">
        <w:rPr>
          <w:rFonts w:ascii="Arial" w:hAnsi="Arial" w:cs="Arial"/>
          <w:i/>
          <w:iCs/>
          <w:sz w:val="24"/>
          <w:szCs w:val="24"/>
          <w:lang w:val="ro-RO"/>
        </w:rPr>
        <w:t>este o organizație neguvernamentală care își propune să analizeze eforturile statului în domeniul controlului industriilor de tutun, alcool și jocuri de noroc</w:t>
      </w:r>
      <w:r w:rsidR="00923ABC" w:rsidRPr="00AA0101">
        <w:rPr>
          <w:rFonts w:ascii="Arial" w:hAnsi="Arial" w:cs="Arial"/>
          <w:i/>
          <w:iCs/>
          <w:sz w:val="24"/>
          <w:szCs w:val="24"/>
          <w:lang w:val="ro-RO"/>
        </w:rPr>
        <w:t>; să promoveze cele mai bune practici internaționale în aceste domenii, dar și să atragă atenție asupra potențialelor probleme și riscuri pentru stat, societate și afaceri legale.</w:t>
      </w:r>
    </w:p>
    <w:p w14:paraId="7FD7BA32" w14:textId="77777777" w:rsidR="00991A31" w:rsidRPr="00CD516C" w:rsidRDefault="00991A31" w:rsidP="00CD516C">
      <w:pPr>
        <w:jc w:val="both"/>
        <w:rPr>
          <w:rFonts w:ascii="Arial" w:hAnsi="Arial" w:cs="Arial"/>
          <w:sz w:val="24"/>
          <w:szCs w:val="24"/>
          <w:lang w:val="ro-RO"/>
        </w:rPr>
      </w:pPr>
      <w:r w:rsidRPr="00CD516C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120F1816" w14:textId="77777777" w:rsidR="00991A31" w:rsidRPr="00CD516C" w:rsidRDefault="00991A31" w:rsidP="00CD516C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681BCAA6" w14:textId="77777777" w:rsidR="00991A31" w:rsidRPr="00CD516C" w:rsidRDefault="00991A31" w:rsidP="00CD516C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0D3A2729" w14:textId="77777777" w:rsidR="00991A31" w:rsidRPr="00CD516C" w:rsidRDefault="00991A31" w:rsidP="00CD516C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0AFD161B" w14:textId="77777777" w:rsidR="00991A31" w:rsidRPr="00CD516C" w:rsidRDefault="00991A31" w:rsidP="00CD516C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2A45C4DB" w14:textId="77777777" w:rsidR="00991A31" w:rsidRPr="00CD516C" w:rsidRDefault="00991A31" w:rsidP="00CD516C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127E1A38" w14:textId="23441781" w:rsidR="00F916F9" w:rsidRPr="00CD516C" w:rsidRDefault="00991A31" w:rsidP="00CD516C">
      <w:pPr>
        <w:jc w:val="both"/>
        <w:rPr>
          <w:rFonts w:ascii="Arial" w:hAnsi="Arial" w:cs="Arial"/>
          <w:sz w:val="24"/>
          <w:szCs w:val="24"/>
          <w:lang w:val="ro-RO"/>
        </w:rPr>
      </w:pPr>
      <w:r w:rsidRPr="00CD516C">
        <w:rPr>
          <w:rFonts w:ascii="Arial" w:hAnsi="Arial" w:cs="Arial"/>
          <w:sz w:val="24"/>
          <w:szCs w:val="24"/>
          <w:lang w:val="ro-RO"/>
        </w:rPr>
        <w:t xml:space="preserve">   </w:t>
      </w:r>
    </w:p>
    <w:sectPr w:rsidR="00F916F9" w:rsidRPr="00CD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1"/>
    <w:rsid w:val="00045AD6"/>
    <w:rsid w:val="00054C5E"/>
    <w:rsid w:val="001575E1"/>
    <w:rsid w:val="00177DB7"/>
    <w:rsid w:val="001B25C0"/>
    <w:rsid w:val="003424A2"/>
    <w:rsid w:val="00377A4B"/>
    <w:rsid w:val="004511C3"/>
    <w:rsid w:val="00474264"/>
    <w:rsid w:val="00543F63"/>
    <w:rsid w:val="005B00EF"/>
    <w:rsid w:val="0060013A"/>
    <w:rsid w:val="0070341A"/>
    <w:rsid w:val="00744D4E"/>
    <w:rsid w:val="007648A6"/>
    <w:rsid w:val="00796C8D"/>
    <w:rsid w:val="008A4BE4"/>
    <w:rsid w:val="00923ABC"/>
    <w:rsid w:val="00991A31"/>
    <w:rsid w:val="00A34D1B"/>
    <w:rsid w:val="00A519D2"/>
    <w:rsid w:val="00A56011"/>
    <w:rsid w:val="00AA0101"/>
    <w:rsid w:val="00B36550"/>
    <w:rsid w:val="00CA15D6"/>
    <w:rsid w:val="00CD516C"/>
    <w:rsid w:val="00D82611"/>
    <w:rsid w:val="00E477EB"/>
    <w:rsid w:val="00E80D3E"/>
    <w:rsid w:val="00F0492B"/>
    <w:rsid w:val="00F916F9"/>
    <w:rsid w:val="00FC5261"/>
    <w:rsid w:val="00FE346F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9AEB"/>
  <w15:chartTrackingRefBased/>
  <w15:docId w15:val="{54DE6F02-2DD6-446D-A223-4603C741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A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1A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365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n.com.ua/ru/news/1976445-stali-vidomi-novi-fakti-roboti-parimatch-u-rosiyi-ta-bilorusi" TargetMode="External"/><Relationship Id="rId13" Type="http://schemas.openxmlformats.org/officeDocument/2006/relationships/hyperlink" Target="http://www.7777.m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mKx3uAOAaf4" TargetMode="External"/><Relationship Id="rId12" Type="http://schemas.openxmlformats.org/officeDocument/2006/relationships/hyperlink" Target="https://legal-monitor.md/assets/img/Doc/LBMPiatagriRO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robnosti.ua/2447165-nov-fakti-spvprats-parimatch-z-okupantami-vdeo.html" TargetMode="External"/><Relationship Id="rId11" Type="http://schemas.openxmlformats.org/officeDocument/2006/relationships/hyperlink" Target="http://www.top100bookmakers.com" TargetMode="External"/><Relationship Id="rId5" Type="http://schemas.openxmlformats.org/officeDocument/2006/relationships/hyperlink" Target="https://podrobnosti.ua/2447165-nov-fakti-spvprats-parimatch-z-okupantami-vdeo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krzi.gov.ua/index.php?r=site%2Findex&amp;pg=99&amp;id=1870&amp;language=uk&amp;fbclid=IwAR3kZGEp3eOBf-7YoYf2BEYlKLeFLpaoTjMVKses_houAgsGfdkzfJRoNe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ntikor.com.ua/articles/461137-vladelets_pari-match_eduard_shvindlerman_i_ego_shematozy_kak_desjatiletijami_razvoditj_ukraintsev_na_denjg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2</cp:revision>
  <dcterms:created xsi:type="dcterms:W3CDTF">2022-05-24T11:22:00Z</dcterms:created>
  <dcterms:modified xsi:type="dcterms:W3CDTF">2022-05-24T11:22:00Z</dcterms:modified>
</cp:coreProperties>
</file>