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6367" w14:textId="1544F8EE" w:rsidR="00C6724E" w:rsidRPr="009E32A0" w:rsidRDefault="0045217A" w:rsidP="00F71D64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noProof/>
          <w:sz w:val="24"/>
          <w:szCs w:val="24"/>
          <w:lang w:val="ro-RO"/>
        </w:rPr>
        <w:drawing>
          <wp:anchor distT="0" distB="0" distL="114300" distR="114300" simplePos="0" relativeHeight="251658240" behindDoc="0" locked="0" layoutInCell="1" allowOverlap="1" wp14:anchorId="3C6902CF" wp14:editId="469AE21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7437" cy="2019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831" cy="202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E7B" w:rsidRPr="009E32A0">
        <w:rPr>
          <w:rFonts w:ascii="Arial" w:hAnsi="Arial" w:cs="Arial"/>
          <w:b/>
          <w:bCs/>
          <w:sz w:val="24"/>
          <w:szCs w:val="24"/>
          <w:lang w:val="ro-RO"/>
        </w:rPr>
        <w:t xml:space="preserve">Piața </w:t>
      </w:r>
      <w:r w:rsidR="009E32A0" w:rsidRPr="009E32A0">
        <w:rPr>
          <w:rFonts w:ascii="Arial" w:hAnsi="Arial" w:cs="Arial"/>
          <w:b/>
          <w:bCs/>
          <w:sz w:val="24"/>
          <w:szCs w:val="24"/>
          <w:lang w:val="ro-RO"/>
        </w:rPr>
        <w:t>gri a jocurilor de noroc din Moldova a depășit 500 de milioane de lei, în 2020</w:t>
      </w:r>
    </w:p>
    <w:p w14:paraId="74CEABF6" w14:textId="77777777" w:rsidR="00C6724E" w:rsidRDefault="00C6724E" w:rsidP="00F71D64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36389962" w14:textId="2AB820CA" w:rsidR="00B50477" w:rsidRPr="0045217A" w:rsidRDefault="00F71D64" w:rsidP="00F71D64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0045217A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Piața gri a jocurilor de noroc din Republica Moldova, dominată de operatori din jurisdicții off-shore, a </w:t>
      </w:r>
      <w:r w:rsidR="003927E4" w:rsidRPr="0045217A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c</w:t>
      </w:r>
      <w:r w:rsidR="0046121B" w:rsidRPr="0045217A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rescut constant în ultimii ani și a </w:t>
      </w:r>
      <w:r w:rsidRPr="0045217A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atins cea mai mare cotă în 2020, când a depășit </w:t>
      </w:r>
      <w:r w:rsidRPr="0045217A">
        <w:rPr>
          <w:rFonts w:ascii="Arial" w:hAnsi="Arial" w:cs="Arial"/>
          <w:b/>
          <w:bCs/>
          <w:i/>
          <w:iCs/>
          <w:sz w:val="24"/>
          <w:szCs w:val="24"/>
          <w:u w:val="single"/>
          <w:lang w:val="ro-RO"/>
        </w:rPr>
        <w:t>500 de milioane de lei</w:t>
      </w:r>
      <w:r w:rsidRPr="0045217A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.</w:t>
      </w:r>
      <w:r w:rsidR="006D0964" w:rsidRPr="0045217A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 </w:t>
      </w:r>
    </w:p>
    <w:p w14:paraId="6FBA4B53" w14:textId="471145CD" w:rsidR="00894444" w:rsidRPr="005C44FE" w:rsidRDefault="00AF32E2" w:rsidP="00F71D64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Este vorba de bani transferați de jucători din țara noastră </w:t>
      </w:r>
      <w:r w:rsidR="00CD232A" w:rsidRPr="0045217A">
        <w:rPr>
          <w:rFonts w:ascii="Arial" w:hAnsi="Arial" w:cs="Arial"/>
          <w:sz w:val="24"/>
          <w:szCs w:val="24"/>
          <w:u w:val="single"/>
          <w:lang w:val="ro-RO"/>
        </w:rPr>
        <w:t>prin servicii de plată (online)</w:t>
      </w:r>
      <w:r w:rsidR="00CD232A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site-urilor de jocuri de noroc</w:t>
      </w:r>
      <w:r w:rsidR="00675C41">
        <w:rPr>
          <w:rFonts w:ascii="Arial" w:hAnsi="Arial" w:cs="Arial"/>
          <w:sz w:val="24"/>
          <w:szCs w:val="24"/>
          <w:lang w:val="ro-RO"/>
        </w:rPr>
        <w:t xml:space="preserve"> din străinătate</w:t>
      </w:r>
      <w:r>
        <w:rPr>
          <w:rFonts w:ascii="Arial" w:hAnsi="Arial" w:cs="Arial"/>
          <w:sz w:val="24"/>
          <w:szCs w:val="24"/>
          <w:lang w:val="ro-RO"/>
        </w:rPr>
        <w:t xml:space="preserve">, care nu dețin autorizație de activitate în Republica Moldova. </w:t>
      </w:r>
      <w:r w:rsidR="00840E53">
        <w:rPr>
          <w:rFonts w:ascii="Arial" w:hAnsi="Arial" w:cs="Arial"/>
          <w:sz w:val="24"/>
          <w:szCs w:val="24"/>
          <w:lang w:val="ro-RO"/>
        </w:rPr>
        <w:t xml:space="preserve">În </w:t>
      </w:r>
      <w:r w:rsidR="008637AA">
        <w:rPr>
          <w:rFonts w:ascii="Arial" w:hAnsi="Arial" w:cs="Arial"/>
          <w:sz w:val="24"/>
          <w:szCs w:val="24"/>
          <w:lang w:val="ro-RO"/>
        </w:rPr>
        <w:t xml:space="preserve">acest </w:t>
      </w:r>
      <w:r w:rsidR="00840E53">
        <w:rPr>
          <w:rFonts w:ascii="Arial" w:hAnsi="Arial" w:cs="Arial"/>
          <w:sz w:val="24"/>
          <w:szCs w:val="24"/>
          <w:lang w:val="ro-RO"/>
        </w:rPr>
        <w:t xml:space="preserve">calcul nu au fost luate transferurile </w:t>
      </w:r>
      <w:r w:rsidR="00840E53" w:rsidRPr="0045217A">
        <w:rPr>
          <w:rFonts w:ascii="Arial" w:hAnsi="Arial" w:cs="Arial"/>
          <w:sz w:val="24"/>
          <w:szCs w:val="24"/>
          <w:u w:val="single"/>
          <w:lang w:val="ro-RO"/>
        </w:rPr>
        <w:t>prin intermediul cardurilor bancare</w:t>
      </w:r>
      <w:r w:rsidR="00840E53">
        <w:rPr>
          <w:rFonts w:ascii="Arial" w:hAnsi="Arial" w:cs="Arial"/>
          <w:sz w:val="24"/>
          <w:szCs w:val="24"/>
          <w:lang w:val="ro-RO"/>
        </w:rPr>
        <w:t xml:space="preserve">, ceea ce înseamnă că suma finală poate fi și mai mare. </w:t>
      </w:r>
    </w:p>
    <w:p w14:paraId="257A6BA9" w14:textId="77777777" w:rsidR="0045217A" w:rsidRDefault="00F71D64" w:rsidP="0045217A">
      <w:pPr>
        <w:jc w:val="both"/>
        <w:rPr>
          <w:rFonts w:ascii="Arial" w:hAnsi="Arial" w:cs="Arial"/>
          <w:sz w:val="24"/>
          <w:szCs w:val="24"/>
          <w:lang w:val="ro-RO"/>
        </w:rPr>
      </w:pPr>
      <w:r w:rsidRPr="005C44FE">
        <w:rPr>
          <w:rFonts w:ascii="Arial" w:hAnsi="Arial" w:cs="Arial"/>
          <w:sz w:val="24"/>
          <w:szCs w:val="24"/>
          <w:lang w:val="ro-RO"/>
        </w:rPr>
        <w:t xml:space="preserve">Acest lucru rezultă din analiza făcută de organizația neguvernamentală Legal Business Monitor în baza datelor </w:t>
      </w:r>
      <w:r w:rsidR="00336C89">
        <w:rPr>
          <w:rFonts w:ascii="Arial" w:hAnsi="Arial" w:cs="Arial"/>
          <w:sz w:val="24"/>
          <w:szCs w:val="24"/>
          <w:lang w:val="ro-RO"/>
        </w:rPr>
        <w:t xml:space="preserve">prezentate de </w:t>
      </w:r>
      <w:r w:rsidRPr="005C44FE">
        <w:rPr>
          <w:rFonts w:ascii="Arial" w:hAnsi="Arial" w:cs="Arial"/>
          <w:sz w:val="24"/>
          <w:szCs w:val="24"/>
          <w:lang w:val="ro-RO"/>
        </w:rPr>
        <w:t xml:space="preserve">Banca Națională a Moldovei </w:t>
      </w:r>
      <w:r w:rsidR="00A1135E">
        <w:rPr>
          <w:rFonts w:ascii="Arial" w:hAnsi="Arial" w:cs="Arial"/>
          <w:sz w:val="24"/>
          <w:szCs w:val="24"/>
          <w:lang w:val="ro-RO"/>
        </w:rPr>
        <w:t xml:space="preserve">(BNM) </w:t>
      </w:r>
      <w:r w:rsidRPr="005C44FE">
        <w:rPr>
          <w:rFonts w:ascii="Arial" w:hAnsi="Arial" w:cs="Arial"/>
          <w:sz w:val="24"/>
          <w:szCs w:val="24"/>
          <w:lang w:val="ro-RO"/>
        </w:rPr>
        <w:t xml:space="preserve">și operatorul autorizat de jocuri de noroc din Republica Moldova, NGM Company, partenerul privat al Loteriei Naționale a Moldovei </w:t>
      </w:r>
      <w:r w:rsidR="00AB5B80">
        <w:rPr>
          <w:rFonts w:ascii="Arial" w:hAnsi="Arial" w:cs="Arial"/>
          <w:sz w:val="24"/>
          <w:szCs w:val="24"/>
          <w:lang w:val="ro-RO"/>
        </w:rPr>
        <w:t xml:space="preserve">(LNM) </w:t>
      </w:r>
      <w:r w:rsidRPr="005C44FE">
        <w:rPr>
          <w:rFonts w:ascii="Arial" w:hAnsi="Arial" w:cs="Arial"/>
          <w:sz w:val="24"/>
          <w:szCs w:val="24"/>
          <w:lang w:val="ro-RO"/>
        </w:rPr>
        <w:t xml:space="preserve">în domeniul loteriilor și pariurilor sportive. </w:t>
      </w:r>
      <w:r w:rsidR="00F74B79">
        <w:rPr>
          <w:rFonts w:ascii="Arial" w:hAnsi="Arial" w:cs="Arial"/>
          <w:sz w:val="24"/>
          <w:szCs w:val="24"/>
          <w:lang w:val="ro-RO"/>
        </w:rPr>
        <w:t xml:space="preserve">NGM Company a început să </w:t>
      </w:r>
      <w:r w:rsidR="00AB5B80">
        <w:rPr>
          <w:rFonts w:ascii="Arial" w:hAnsi="Arial" w:cs="Arial"/>
          <w:sz w:val="24"/>
          <w:szCs w:val="24"/>
          <w:lang w:val="ro-RO"/>
        </w:rPr>
        <w:t xml:space="preserve">primească plăți pentru site-ul de jocuri de noroc </w:t>
      </w:r>
      <w:hyperlink r:id="rId5" w:history="1">
        <w:r w:rsidR="00AB5B80" w:rsidRPr="00C84774">
          <w:rPr>
            <w:rStyle w:val="a4"/>
            <w:rFonts w:ascii="Arial" w:hAnsi="Arial" w:cs="Arial"/>
            <w:sz w:val="24"/>
            <w:szCs w:val="24"/>
            <w:lang w:val="ro-RO"/>
          </w:rPr>
          <w:t>www.7777.md</w:t>
        </w:r>
      </w:hyperlink>
      <w:r w:rsidR="00AB5B80">
        <w:rPr>
          <w:rFonts w:ascii="Arial" w:hAnsi="Arial" w:cs="Arial"/>
          <w:sz w:val="24"/>
          <w:szCs w:val="24"/>
          <w:lang w:val="ro-RO"/>
        </w:rPr>
        <w:t xml:space="preserve">, autorizat de LNM, din 2019. </w:t>
      </w:r>
      <w:r w:rsidR="0045217A" w:rsidRPr="0045217A">
        <w:rPr>
          <w:rFonts w:ascii="Arial" w:hAnsi="Arial" w:cs="Arial"/>
          <w:sz w:val="24"/>
          <w:szCs w:val="24"/>
          <w:u w:val="single"/>
          <w:lang w:val="ro-RO"/>
        </w:rPr>
        <w:t>Ponderea plăților pentru jocuri legale a fost nesemnificativă, comparativ cu volumul total, în perioada 2019-2020.</w:t>
      </w:r>
      <w:r w:rsidR="0045217A">
        <w:rPr>
          <w:rFonts w:ascii="Arial" w:hAnsi="Arial" w:cs="Arial"/>
          <w:sz w:val="24"/>
          <w:szCs w:val="24"/>
          <w:lang w:val="ro-RO"/>
        </w:rPr>
        <w:t xml:space="preserve">  </w:t>
      </w:r>
    </w:p>
    <w:p w14:paraId="7B1F2A3A" w14:textId="6480EBB6" w:rsidR="00771DF9" w:rsidRPr="00530236" w:rsidRDefault="00771DF9" w:rsidP="00771DF9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530236">
        <w:rPr>
          <w:rFonts w:ascii="Arial" w:hAnsi="Arial" w:cs="Arial"/>
          <w:b/>
          <w:bCs/>
          <w:sz w:val="24"/>
          <w:szCs w:val="24"/>
          <w:lang w:val="ro-RO"/>
        </w:rPr>
        <w:t>Tabel 1</w:t>
      </w:r>
    </w:p>
    <w:p w14:paraId="75A3F19F" w14:textId="77777777" w:rsidR="00771DF9" w:rsidRPr="0045217A" w:rsidRDefault="00771DF9" w:rsidP="00771DF9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val="ro-RO"/>
        </w:rPr>
      </w:pPr>
      <w:r w:rsidRPr="00A83144">
        <w:rPr>
          <w:rFonts w:ascii="Arial" w:hAnsi="Arial" w:cs="Arial"/>
          <w:b/>
          <w:bCs/>
          <w:lang w:val="ro-RO"/>
        </w:rPr>
        <w:t xml:space="preserve">Numărul și valoarea plăților recepționate de utilizatorii </w:t>
      </w:r>
      <w:r w:rsidRPr="0045217A">
        <w:rPr>
          <w:rFonts w:ascii="Arial" w:hAnsi="Arial" w:cs="Arial"/>
          <w:b/>
          <w:bCs/>
          <w:u w:val="single"/>
          <w:lang w:val="ro-RO"/>
        </w:rPr>
        <w:t>serviciilor de plată</w:t>
      </w:r>
    </w:p>
    <w:p w14:paraId="2D795906" w14:textId="77777777" w:rsidR="00771DF9" w:rsidRPr="00A83144" w:rsidRDefault="00771DF9" w:rsidP="00771DF9">
      <w:pPr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  <w:r w:rsidRPr="00A83144">
        <w:rPr>
          <w:rFonts w:ascii="Arial" w:hAnsi="Arial" w:cs="Arial"/>
          <w:b/>
          <w:bCs/>
          <w:lang w:val="ro-RO"/>
        </w:rPr>
        <w:t>pentru categoria ”jocuri și divertisment”</w:t>
      </w:r>
      <w:r>
        <w:rPr>
          <w:rFonts w:ascii="Arial" w:hAnsi="Arial" w:cs="Arial"/>
          <w:b/>
          <w:bCs/>
          <w:lang w:val="ro-R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254"/>
      </w:tblGrid>
      <w:tr w:rsidR="00771DF9" w14:paraId="4197E2E7" w14:textId="77777777" w:rsidTr="00D067B2">
        <w:tc>
          <w:tcPr>
            <w:tcW w:w="2263" w:type="dxa"/>
          </w:tcPr>
          <w:p w14:paraId="23590330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Anul</w:t>
            </w:r>
          </w:p>
        </w:tc>
        <w:tc>
          <w:tcPr>
            <w:tcW w:w="3828" w:type="dxa"/>
          </w:tcPr>
          <w:p w14:paraId="28DC1145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Numărul</w:t>
            </w:r>
          </w:p>
          <w:p w14:paraId="1D8F4CD3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(milioane operațiuni)</w:t>
            </w:r>
          </w:p>
        </w:tc>
        <w:tc>
          <w:tcPr>
            <w:tcW w:w="3254" w:type="dxa"/>
          </w:tcPr>
          <w:p w14:paraId="1D82FC71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Valoarea</w:t>
            </w:r>
          </w:p>
          <w:p w14:paraId="451B40F5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(milioane lei)</w:t>
            </w:r>
          </w:p>
        </w:tc>
      </w:tr>
      <w:tr w:rsidR="00771DF9" w14:paraId="46BD36B6" w14:textId="77777777" w:rsidTr="00D067B2">
        <w:tc>
          <w:tcPr>
            <w:tcW w:w="2263" w:type="dxa"/>
          </w:tcPr>
          <w:p w14:paraId="7AE880F8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2018</w:t>
            </w:r>
          </w:p>
        </w:tc>
        <w:tc>
          <w:tcPr>
            <w:tcW w:w="3828" w:type="dxa"/>
          </w:tcPr>
          <w:p w14:paraId="44A8AE1E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1,23</w:t>
            </w:r>
          </w:p>
        </w:tc>
        <w:tc>
          <w:tcPr>
            <w:tcW w:w="3254" w:type="dxa"/>
          </w:tcPr>
          <w:p w14:paraId="162C90D7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280,64</w:t>
            </w:r>
          </w:p>
        </w:tc>
      </w:tr>
      <w:tr w:rsidR="00771DF9" w14:paraId="0A143770" w14:textId="77777777" w:rsidTr="00D067B2">
        <w:tc>
          <w:tcPr>
            <w:tcW w:w="2263" w:type="dxa"/>
          </w:tcPr>
          <w:p w14:paraId="63E8BD34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2019</w:t>
            </w:r>
          </w:p>
        </w:tc>
        <w:tc>
          <w:tcPr>
            <w:tcW w:w="3828" w:type="dxa"/>
          </w:tcPr>
          <w:p w14:paraId="72AF72F7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1,8</w:t>
            </w:r>
          </w:p>
        </w:tc>
        <w:tc>
          <w:tcPr>
            <w:tcW w:w="3254" w:type="dxa"/>
          </w:tcPr>
          <w:p w14:paraId="4FDA7054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386,97</w:t>
            </w:r>
          </w:p>
        </w:tc>
      </w:tr>
      <w:tr w:rsidR="00771DF9" w14:paraId="2E2A73A5" w14:textId="77777777" w:rsidTr="00D067B2">
        <w:tc>
          <w:tcPr>
            <w:tcW w:w="2263" w:type="dxa"/>
          </w:tcPr>
          <w:p w14:paraId="449F6CE6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2020</w:t>
            </w:r>
          </w:p>
        </w:tc>
        <w:tc>
          <w:tcPr>
            <w:tcW w:w="3828" w:type="dxa"/>
          </w:tcPr>
          <w:p w14:paraId="332189A6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2,32</w:t>
            </w:r>
          </w:p>
        </w:tc>
        <w:tc>
          <w:tcPr>
            <w:tcW w:w="3254" w:type="dxa"/>
          </w:tcPr>
          <w:p w14:paraId="28AA73D5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520,47</w:t>
            </w:r>
          </w:p>
        </w:tc>
      </w:tr>
      <w:tr w:rsidR="00771DF9" w14:paraId="54675F63" w14:textId="77777777" w:rsidTr="00D067B2">
        <w:tc>
          <w:tcPr>
            <w:tcW w:w="2263" w:type="dxa"/>
          </w:tcPr>
          <w:p w14:paraId="2DA33C70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2021</w:t>
            </w:r>
          </w:p>
        </w:tc>
        <w:tc>
          <w:tcPr>
            <w:tcW w:w="3828" w:type="dxa"/>
          </w:tcPr>
          <w:p w14:paraId="6A5250B4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3,15</w:t>
            </w:r>
          </w:p>
        </w:tc>
        <w:tc>
          <w:tcPr>
            <w:tcW w:w="3254" w:type="dxa"/>
          </w:tcPr>
          <w:p w14:paraId="72EEF62F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691,6</w:t>
            </w:r>
          </w:p>
        </w:tc>
      </w:tr>
    </w:tbl>
    <w:p w14:paraId="1CC32B9D" w14:textId="77777777" w:rsidR="00771DF9" w:rsidRPr="002D78CE" w:rsidRDefault="00771DF9" w:rsidP="00771DF9">
      <w:pPr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2D78CE">
        <w:rPr>
          <w:rFonts w:ascii="Arial" w:hAnsi="Arial" w:cs="Arial"/>
          <w:i/>
          <w:iCs/>
          <w:sz w:val="20"/>
          <w:szCs w:val="20"/>
          <w:lang w:val="ro-RO"/>
        </w:rPr>
        <w:t>Sursa: BNM</w:t>
      </w:r>
    </w:p>
    <w:p w14:paraId="066CE6ED" w14:textId="77777777" w:rsidR="00771DF9" w:rsidRPr="00530236" w:rsidRDefault="00771DF9" w:rsidP="00771DF9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530236">
        <w:rPr>
          <w:rFonts w:ascii="Arial" w:hAnsi="Arial" w:cs="Arial"/>
          <w:b/>
          <w:bCs/>
          <w:sz w:val="24"/>
          <w:szCs w:val="24"/>
          <w:lang w:val="ro-RO"/>
        </w:rPr>
        <w:t xml:space="preserve">Tabel </w:t>
      </w:r>
      <w:r>
        <w:rPr>
          <w:rFonts w:ascii="Arial" w:hAnsi="Arial" w:cs="Arial"/>
          <w:b/>
          <w:bCs/>
          <w:sz w:val="24"/>
          <w:szCs w:val="24"/>
          <w:lang w:val="ro-RO"/>
        </w:rPr>
        <w:t>2</w:t>
      </w:r>
    </w:p>
    <w:p w14:paraId="1AE3D11D" w14:textId="77777777" w:rsidR="00771DF9" w:rsidRPr="0045217A" w:rsidRDefault="00771DF9" w:rsidP="00771DF9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val="ro-RO"/>
        </w:rPr>
      </w:pPr>
      <w:r w:rsidRPr="00A83144">
        <w:rPr>
          <w:rFonts w:ascii="Arial" w:hAnsi="Arial" w:cs="Arial"/>
          <w:b/>
          <w:bCs/>
          <w:lang w:val="ro-RO"/>
        </w:rPr>
        <w:t xml:space="preserve">Numărul și valoarea plăților </w:t>
      </w:r>
      <w:r>
        <w:rPr>
          <w:rFonts w:ascii="Arial" w:hAnsi="Arial" w:cs="Arial"/>
          <w:b/>
          <w:bCs/>
          <w:lang w:val="ro-RO"/>
        </w:rPr>
        <w:t xml:space="preserve">incasate pe 7777.md prin </w:t>
      </w:r>
      <w:r w:rsidRPr="0045217A">
        <w:rPr>
          <w:rFonts w:ascii="Arial" w:hAnsi="Arial" w:cs="Arial"/>
          <w:b/>
          <w:bCs/>
          <w:u w:val="single"/>
          <w:lang w:val="ro-RO"/>
        </w:rPr>
        <w:t>servicii de plată</w:t>
      </w:r>
    </w:p>
    <w:p w14:paraId="30DA1629" w14:textId="77777777" w:rsidR="00771DF9" w:rsidRPr="00A83144" w:rsidRDefault="00771DF9" w:rsidP="00771DF9">
      <w:pPr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254"/>
      </w:tblGrid>
      <w:tr w:rsidR="00771DF9" w14:paraId="30735B64" w14:textId="77777777" w:rsidTr="00D067B2">
        <w:tc>
          <w:tcPr>
            <w:tcW w:w="2263" w:type="dxa"/>
          </w:tcPr>
          <w:p w14:paraId="3990E774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Anul</w:t>
            </w:r>
          </w:p>
        </w:tc>
        <w:tc>
          <w:tcPr>
            <w:tcW w:w="3828" w:type="dxa"/>
          </w:tcPr>
          <w:p w14:paraId="070C2EB3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Numărul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operațiunilor</w:t>
            </w:r>
          </w:p>
        </w:tc>
        <w:tc>
          <w:tcPr>
            <w:tcW w:w="3254" w:type="dxa"/>
          </w:tcPr>
          <w:p w14:paraId="79684F88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Valoarea</w:t>
            </w:r>
          </w:p>
          <w:p w14:paraId="31C011B0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milioane </w:t>
            </w: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lei)</w:t>
            </w:r>
          </w:p>
        </w:tc>
      </w:tr>
      <w:tr w:rsidR="00771DF9" w14:paraId="11C56814" w14:textId="77777777" w:rsidTr="00D067B2">
        <w:tc>
          <w:tcPr>
            <w:tcW w:w="2263" w:type="dxa"/>
          </w:tcPr>
          <w:p w14:paraId="5485C59F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2019</w:t>
            </w:r>
          </w:p>
        </w:tc>
        <w:tc>
          <w:tcPr>
            <w:tcW w:w="3828" w:type="dxa"/>
          </w:tcPr>
          <w:p w14:paraId="2AFB4ABE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29 677</w:t>
            </w:r>
          </w:p>
        </w:tc>
        <w:tc>
          <w:tcPr>
            <w:tcW w:w="3254" w:type="dxa"/>
          </w:tcPr>
          <w:p w14:paraId="056F16AC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5,43</w:t>
            </w:r>
          </w:p>
        </w:tc>
      </w:tr>
      <w:tr w:rsidR="00771DF9" w14:paraId="225CDE4F" w14:textId="77777777" w:rsidTr="00D067B2">
        <w:tc>
          <w:tcPr>
            <w:tcW w:w="2263" w:type="dxa"/>
          </w:tcPr>
          <w:p w14:paraId="5D368574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2020</w:t>
            </w:r>
          </w:p>
        </w:tc>
        <w:tc>
          <w:tcPr>
            <w:tcW w:w="3828" w:type="dxa"/>
          </w:tcPr>
          <w:p w14:paraId="0FAAAA34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52 439</w:t>
            </w:r>
          </w:p>
        </w:tc>
        <w:tc>
          <w:tcPr>
            <w:tcW w:w="3254" w:type="dxa"/>
          </w:tcPr>
          <w:p w14:paraId="2150586C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8,7</w:t>
            </w:r>
          </w:p>
        </w:tc>
      </w:tr>
      <w:tr w:rsidR="00771DF9" w14:paraId="0A0A7900" w14:textId="77777777" w:rsidTr="00D067B2">
        <w:tc>
          <w:tcPr>
            <w:tcW w:w="2263" w:type="dxa"/>
          </w:tcPr>
          <w:p w14:paraId="5FC94394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5C44FE">
              <w:rPr>
                <w:rFonts w:ascii="Arial" w:hAnsi="Arial" w:cs="Arial"/>
                <w:sz w:val="24"/>
                <w:szCs w:val="24"/>
                <w:lang w:val="ro-RO"/>
              </w:rPr>
              <w:t>2021</w:t>
            </w:r>
          </w:p>
        </w:tc>
        <w:tc>
          <w:tcPr>
            <w:tcW w:w="3828" w:type="dxa"/>
          </w:tcPr>
          <w:p w14:paraId="47327E86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241 652</w:t>
            </w:r>
          </w:p>
        </w:tc>
        <w:tc>
          <w:tcPr>
            <w:tcW w:w="3254" w:type="dxa"/>
          </w:tcPr>
          <w:p w14:paraId="772CBAE2" w14:textId="77777777" w:rsidR="00771DF9" w:rsidRPr="005C44FE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536 </w:t>
            </w:r>
          </w:p>
        </w:tc>
      </w:tr>
    </w:tbl>
    <w:p w14:paraId="4ED0A315" w14:textId="77777777" w:rsidR="00771DF9" w:rsidRPr="002D78CE" w:rsidRDefault="00771DF9" w:rsidP="00771DF9">
      <w:pPr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2D78CE">
        <w:rPr>
          <w:rFonts w:ascii="Arial" w:hAnsi="Arial" w:cs="Arial"/>
          <w:i/>
          <w:iCs/>
          <w:sz w:val="20"/>
          <w:szCs w:val="20"/>
          <w:lang w:val="ro-RO"/>
        </w:rPr>
        <w:t>Sursa: NGM Company</w:t>
      </w:r>
    </w:p>
    <w:p w14:paraId="08F60DD2" w14:textId="65B3B78B" w:rsidR="00B76D68" w:rsidRPr="0045217A" w:rsidRDefault="00B76D68" w:rsidP="009B62B9">
      <w:pPr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BNM deține astfel de informații doar din 2018, când au fost efectuate 1,23 milioane de operațiuni în valoare totală de peste 280 de milioane de lei. În 2019, numărul tranzacțiilor a crescut cu aproape 600 de mii, iar suma depusă pe site-uri</w:t>
      </w:r>
      <w:r w:rsidR="002B5A33">
        <w:rPr>
          <w:rFonts w:ascii="Arial" w:hAnsi="Arial" w:cs="Arial"/>
          <w:sz w:val="24"/>
          <w:szCs w:val="24"/>
          <w:lang w:val="ro-RO"/>
        </w:rPr>
        <w:t>le</w:t>
      </w:r>
      <w:r>
        <w:rPr>
          <w:rFonts w:ascii="Arial" w:hAnsi="Arial" w:cs="Arial"/>
          <w:sz w:val="24"/>
          <w:szCs w:val="24"/>
          <w:lang w:val="ro-RO"/>
        </w:rPr>
        <w:t xml:space="preserve"> de profil </w:t>
      </w:r>
      <w:r w:rsidR="001318B0">
        <w:rPr>
          <w:rFonts w:ascii="Arial" w:hAnsi="Arial" w:cs="Arial"/>
          <w:sz w:val="24"/>
          <w:szCs w:val="24"/>
          <w:lang w:val="ro-RO"/>
        </w:rPr>
        <w:t xml:space="preserve">neautorizate </w:t>
      </w:r>
      <w:r>
        <w:rPr>
          <w:rFonts w:ascii="Arial" w:hAnsi="Arial" w:cs="Arial"/>
          <w:sz w:val="24"/>
          <w:szCs w:val="24"/>
          <w:lang w:val="ro-RO"/>
        </w:rPr>
        <w:t xml:space="preserve">– cu </w:t>
      </w:r>
      <w:r>
        <w:rPr>
          <w:rFonts w:ascii="Arial" w:hAnsi="Arial" w:cs="Arial"/>
          <w:sz w:val="24"/>
          <w:szCs w:val="24"/>
          <w:lang w:val="ro-RO"/>
        </w:rPr>
        <w:lastRenderedPageBreak/>
        <w:t>peste 100 de milioane de lei</w:t>
      </w:r>
      <w:r w:rsidR="00CA6FAC">
        <w:rPr>
          <w:rFonts w:ascii="Arial" w:hAnsi="Arial" w:cs="Arial"/>
          <w:sz w:val="24"/>
          <w:szCs w:val="24"/>
          <w:lang w:val="ro-RO"/>
        </w:rPr>
        <w:t xml:space="preserve">. În aceeași perioadă, 5,43 milioane de lei au fost destinate sectorului legal. </w:t>
      </w:r>
      <w:r w:rsidR="007C0E0E">
        <w:rPr>
          <w:rFonts w:ascii="Arial" w:hAnsi="Arial" w:cs="Arial"/>
          <w:sz w:val="24"/>
          <w:szCs w:val="24"/>
          <w:lang w:val="ro-RO"/>
        </w:rPr>
        <w:t>În anul următor valoarea tranzacțiilor a urcat la mai mult de 520 de milioane de lei</w:t>
      </w:r>
      <w:r w:rsidR="00CA6FAC">
        <w:rPr>
          <w:rFonts w:ascii="Arial" w:hAnsi="Arial" w:cs="Arial"/>
          <w:sz w:val="24"/>
          <w:szCs w:val="24"/>
          <w:lang w:val="ro-RO"/>
        </w:rPr>
        <w:t xml:space="preserve">, dintre care 8,7 milioane de lei </w:t>
      </w:r>
      <w:r w:rsidR="0054138B">
        <w:rPr>
          <w:rFonts w:ascii="Arial" w:hAnsi="Arial" w:cs="Arial"/>
          <w:sz w:val="24"/>
          <w:szCs w:val="24"/>
          <w:lang w:val="ro-RO"/>
        </w:rPr>
        <w:t xml:space="preserve">au ajuns </w:t>
      </w:r>
      <w:r w:rsidR="00CA6FAC">
        <w:rPr>
          <w:rFonts w:ascii="Arial" w:hAnsi="Arial" w:cs="Arial"/>
          <w:sz w:val="24"/>
          <w:szCs w:val="24"/>
          <w:lang w:val="ro-RO"/>
        </w:rPr>
        <w:t xml:space="preserve">pe </w:t>
      </w:r>
      <w:hyperlink r:id="rId6" w:history="1">
        <w:r w:rsidR="00CA6FAC" w:rsidRPr="00C84774">
          <w:rPr>
            <w:rStyle w:val="a4"/>
            <w:rFonts w:ascii="Arial" w:hAnsi="Arial" w:cs="Arial"/>
            <w:sz w:val="24"/>
            <w:szCs w:val="24"/>
            <w:lang w:val="ro-RO"/>
          </w:rPr>
          <w:t>www.7777.md</w:t>
        </w:r>
      </w:hyperlink>
      <w:r w:rsidR="00CA6FAC">
        <w:rPr>
          <w:rFonts w:ascii="Arial" w:hAnsi="Arial" w:cs="Arial"/>
          <w:sz w:val="24"/>
          <w:szCs w:val="24"/>
          <w:lang w:val="ro-RO"/>
        </w:rPr>
        <w:t xml:space="preserve">. </w:t>
      </w:r>
      <w:r w:rsidR="00CA6FAC" w:rsidRPr="0045217A">
        <w:rPr>
          <w:rFonts w:ascii="Arial" w:hAnsi="Arial" w:cs="Arial"/>
          <w:sz w:val="24"/>
          <w:szCs w:val="24"/>
          <w:u w:val="single"/>
          <w:lang w:val="ro-RO"/>
        </w:rPr>
        <w:t xml:space="preserve">Ca urmare, </w:t>
      </w:r>
      <w:r w:rsidR="009B62B9" w:rsidRPr="0045217A">
        <w:rPr>
          <w:rFonts w:ascii="Arial" w:hAnsi="Arial" w:cs="Arial"/>
          <w:sz w:val="24"/>
          <w:szCs w:val="24"/>
          <w:u w:val="single"/>
          <w:lang w:val="ro-RO"/>
        </w:rPr>
        <w:t>companiile ce activează ilegal în țara noastră au atras de la jucător</w:t>
      </w:r>
      <w:r w:rsidR="00BD6DF4" w:rsidRPr="0045217A">
        <w:rPr>
          <w:rFonts w:ascii="Arial" w:hAnsi="Arial" w:cs="Arial"/>
          <w:sz w:val="24"/>
          <w:szCs w:val="24"/>
          <w:u w:val="single"/>
          <w:lang w:val="ro-RO"/>
        </w:rPr>
        <w:t>i</w:t>
      </w:r>
      <w:r w:rsidR="009B62B9" w:rsidRPr="0045217A">
        <w:rPr>
          <w:rFonts w:ascii="Arial" w:hAnsi="Arial" w:cs="Arial"/>
          <w:sz w:val="24"/>
          <w:szCs w:val="24"/>
          <w:u w:val="single"/>
          <w:lang w:val="ro-RO"/>
        </w:rPr>
        <w:t xml:space="preserve">i moldoveni </w:t>
      </w:r>
      <w:r w:rsidR="002B5A33" w:rsidRPr="0045217A">
        <w:rPr>
          <w:rFonts w:ascii="Arial" w:hAnsi="Arial" w:cs="Arial"/>
          <w:sz w:val="24"/>
          <w:szCs w:val="24"/>
          <w:u w:val="single"/>
          <w:lang w:val="ro-RO"/>
        </w:rPr>
        <w:t>mai mult de 5</w:t>
      </w:r>
      <w:r w:rsidR="004431BC" w:rsidRPr="0045217A">
        <w:rPr>
          <w:rFonts w:ascii="Arial" w:hAnsi="Arial" w:cs="Arial"/>
          <w:sz w:val="24"/>
          <w:szCs w:val="24"/>
          <w:u w:val="single"/>
          <w:lang w:val="ro-RO"/>
        </w:rPr>
        <w:t>11</w:t>
      </w:r>
      <w:r w:rsidR="002B5A33" w:rsidRPr="0045217A">
        <w:rPr>
          <w:rFonts w:ascii="Arial" w:hAnsi="Arial" w:cs="Arial"/>
          <w:sz w:val="24"/>
          <w:szCs w:val="24"/>
          <w:u w:val="single"/>
          <w:lang w:val="ro-RO"/>
        </w:rPr>
        <w:t xml:space="preserve"> milioane de lei</w:t>
      </w:r>
      <w:r w:rsidR="00E725F7" w:rsidRPr="0045217A">
        <w:rPr>
          <w:rFonts w:ascii="Arial" w:hAnsi="Arial" w:cs="Arial"/>
          <w:sz w:val="24"/>
          <w:szCs w:val="24"/>
          <w:u w:val="single"/>
          <w:lang w:val="ro-RO"/>
        </w:rPr>
        <w:t>, în 2020</w:t>
      </w:r>
      <w:r w:rsidR="002B5A33" w:rsidRPr="0045217A">
        <w:rPr>
          <w:rFonts w:ascii="Arial" w:hAnsi="Arial" w:cs="Arial"/>
          <w:sz w:val="24"/>
          <w:szCs w:val="24"/>
          <w:u w:val="single"/>
          <w:lang w:val="ro-RO"/>
        </w:rPr>
        <w:t xml:space="preserve">. </w:t>
      </w:r>
    </w:p>
    <w:p w14:paraId="22AAC0BF" w14:textId="608993AC" w:rsidR="00F06635" w:rsidRDefault="00CF2492" w:rsidP="00A73139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Situația s-a schimbat în anul următorul, când în Republica Moldova a început blocarea, din martie 2021, a accesului la site-uri neautorizate de jocuri de noroc. </w:t>
      </w:r>
      <w:r w:rsidR="0065213B">
        <w:rPr>
          <w:rFonts w:ascii="Arial" w:hAnsi="Arial" w:cs="Arial"/>
          <w:sz w:val="24"/>
          <w:szCs w:val="24"/>
          <w:lang w:val="ro-RO"/>
        </w:rPr>
        <w:t xml:space="preserve">În paralel și operatorii de plăți au restricționat plățile pentru </w:t>
      </w:r>
      <w:r w:rsidR="003E328E">
        <w:rPr>
          <w:rFonts w:ascii="Arial" w:hAnsi="Arial" w:cs="Arial"/>
          <w:sz w:val="24"/>
          <w:szCs w:val="24"/>
          <w:lang w:val="ro-RO"/>
        </w:rPr>
        <w:t>acestea</w:t>
      </w:r>
      <w:r w:rsidR="0065213B">
        <w:rPr>
          <w:rFonts w:ascii="Arial" w:hAnsi="Arial" w:cs="Arial"/>
          <w:sz w:val="24"/>
          <w:szCs w:val="24"/>
          <w:lang w:val="ro-RO"/>
        </w:rPr>
        <w:t xml:space="preserve">. </w:t>
      </w:r>
      <w:r w:rsidR="00A73139">
        <w:rPr>
          <w:rFonts w:ascii="Arial" w:hAnsi="Arial" w:cs="Arial"/>
          <w:sz w:val="24"/>
          <w:szCs w:val="24"/>
          <w:lang w:val="ro-RO"/>
        </w:rPr>
        <w:t xml:space="preserve">Rezultatul acestor măsuri este </w:t>
      </w:r>
      <w:r w:rsidR="00A73139" w:rsidRPr="0045217A">
        <w:rPr>
          <w:rFonts w:ascii="Arial" w:hAnsi="Arial" w:cs="Arial"/>
          <w:sz w:val="24"/>
          <w:szCs w:val="24"/>
          <w:u w:val="single"/>
          <w:lang w:val="ro-RO"/>
        </w:rPr>
        <w:t>reducerea până la 155,5 de milioane de lei</w:t>
      </w:r>
      <w:r w:rsidR="00A73139">
        <w:rPr>
          <w:rFonts w:ascii="Arial" w:hAnsi="Arial" w:cs="Arial"/>
          <w:sz w:val="24"/>
          <w:szCs w:val="24"/>
          <w:lang w:val="ro-RO"/>
        </w:rPr>
        <w:t xml:space="preserve"> a sumelor direcționate spre organizatori de loterii online și pariuri sportive ilegali. </w:t>
      </w:r>
    </w:p>
    <w:p w14:paraId="18F30B86" w14:textId="778B88E7" w:rsidR="002E3A07" w:rsidRPr="0045217A" w:rsidRDefault="002E3A07" w:rsidP="00A73139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0045217A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Aceste date au fost puse la baza unui studiu amplu despre situația legată de jocurile de noroc în Republica Moldova și reglementarea sectorului</w:t>
      </w:r>
      <w:r w:rsidR="002C4C68" w:rsidRPr="0045217A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, primul de acest gen în țara noastră</w:t>
      </w:r>
      <w:r w:rsidRPr="0045217A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. Cercetarea </w:t>
      </w:r>
      <w:r w:rsidR="00B13EA4" w:rsidRPr="0045217A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va fi făcută publică în viitorul apropiat.</w:t>
      </w:r>
    </w:p>
    <w:p w14:paraId="13423CEA" w14:textId="77777777" w:rsidR="00A73139" w:rsidRDefault="00A73139" w:rsidP="00A73139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267A93F0" w14:textId="77777777" w:rsidR="00F06635" w:rsidRDefault="00F06635" w:rsidP="00F71D64">
      <w:pPr>
        <w:jc w:val="both"/>
        <w:rPr>
          <w:rFonts w:ascii="Arial" w:hAnsi="Arial" w:cs="Arial"/>
          <w:sz w:val="24"/>
          <w:szCs w:val="24"/>
          <w:lang w:val="ro-RO"/>
        </w:rPr>
      </w:pPr>
    </w:p>
    <w:sectPr w:rsidR="00F0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64"/>
    <w:rsid w:val="000403C8"/>
    <w:rsid w:val="000B1A33"/>
    <w:rsid w:val="001318B0"/>
    <w:rsid w:val="001B33EB"/>
    <w:rsid w:val="002B5A33"/>
    <w:rsid w:val="002C4C68"/>
    <w:rsid w:val="002D78CE"/>
    <w:rsid w:val="002E3A07"/>
    <w:rsid w:val="00336C89"/>
    <w:rsid w:val="00354B02"/>
    <w:rsid w:val="00382B8F"/>
    <w:rsid w:val="003927E4"/>
    <w:rsid w:val="00393EE5"/>
    <w:rsid w:val="003D4070"/>
    <w:rsid w:val="003E328E"/>
    <w:rsid w:val="00407EF5"/>
    <w:rsid w:val="004152FE"/>
    <w:rsid w:val="004431BC"/>
    <w:rsid w:val="0045217A"/>
    <w:rsid w:val="0046121B"/>
    <w:rsid w:val="005046DE"/>
    <w:rsid w:val="005107F5"/>
    <w:rsid w:val="00524ECA"/>
    <w:rsid w:val="00530236"/>
    <w:rsid w:val="0054138B"/>
    <w:rsid w:val="005C44FE"/>
    <w:rsid w:val="005C7DAC"/>
    <w:rsid w:val="00641419"/>
    <w:rsid w:val="0065213B"/>
    <w:rsid w:val="00675C41"/>
    <w:rsid w:val="006764EF"/>
    <w:rsid w:val="006776B1"/>
    <w:rsid w:val="006C40E2"/>
    <w:rsid w:val="006C7672"/>
    <w:rsid w:val="006D0964"/>
    <w:rsid w:val="00707AC3"/>
    <w:rsid w:val="00771DF9"/>
    <w:rsid w:val="007848AF"/>
    <w:rsid w:val="007C0E0E"/>
    <w:rsid w:val="007D0E6C"/>
    <w:rsid w:val="00840E53"/>
    <w:rsid w:val="008637AA"/>
    <w:rsid w:val="0099394C"/>
    <w:rsid w:val="009B62B9"/>
    <w:rsid w:val="009D478D"/>
    <w:rsid w:val="009E32A0"/>
    <w:rsid w:val="00A1135E"/>
    <w:rsid w:val="00A2363E"/>
    <w:rsid w:val="00A73139"/>
    <w:rsid w:val="00A83144"/>
    <w:rsid w:val="00AB5B80"/>
    <w:rsid w:val="00AF32E2"/>
    <w:rsid w:val="00B13EA4"/>
    <w:rsid w:val="00B32878"/>
    <w:rsid w:val="00B50477"/>
    <w:rsid w:val="00B76D68"/>
    <w:rsid w:val="00BC63DB"/>
    <w:rsid w:val="00BD6DF4"/>
    <w:rsid w:val="00BF0D97"/>
    <w:rsid w:val="00C6668D"/>
    <w:rsid w:val="00C6724E"/>
    <w:rsid w:val="00CA6FAC"/>
    <w:rsid w:val="00CD05AF"/>
    <w:rsid w:val="00CD232A"/>
    <w:rsid w:val="00CF2492"/>
    <w:rsid w:val="00D24275"/>
    <w:rsid w:val="00E725F7"/>
    <w:rsid w:val="00F06635"/>
    <w:rsid w:val="00F64432"/>
    <w:rsid w:val="00F71D64"/>
    <w:rsid w:val="00F74B79"/>
    <w:rsid w:val="00F9022E"/>
    <w:rsid w:val="00FC4E7B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88D2"/>
  <w15:chartTrackingRefBased/>
  <w15:docId w15:val="{F767C092-A771-4F71-8BAA-0A4D6048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0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0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777.md" TargetMode="External"/><Relationship Id="rId5" Type="http://schemas.openxmlformats.org/officeDocument/2006/relationships/hyperlink" Target="http://www.7777.m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Gisca</dc:creator>
  <cp:keywords/>
  <dc:description/>
  <cp:lastModifiedBy>Victoria</cp:lastModifiedBy>
  <cp:revision>3</cp:revision>
  <dcterms:created xsi:type="dcterms:W3CDTF">2022-05-18T10:19:00Z</dcterms:created>
  <dcterms:modified xsi:type="dcterms:W3CDTF">2022-05-19T06:52:00Z</dcterms:modified>
</cp:coreProperties>
</file>